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4D0" w14:textId="698C72B1" w:rsidR="00F04B65" w:rsidRPr="00D64BC7" w:rsidRDefault="00DC2F8E" w:rsidP="00B65259">
      <w:pPr>
        <w:spacing w:before="0" w:after="360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>EC-78</w:t>
      </w:r>
      <w:r w:rsidR="00F76A1E">
        <w:rPr>
          <w:b/>
          <w:bCs/>
          <w:color w:val="000000"/>
          <w:sz w:val="24"/>
          <w:szCs w:val="24"/>
          <w:lang w:val="en-GB"/>
        </w:rPr>
        <w:t xml:space="preserve"> </w:t>
      </w:r>
      <w:r w:rsidR="0059144C" w:rsidRPr="00D64BC7">
        <w:rPr>
          <w:b/>
          <w:bCs/>
          <w:color w:val="000000"/>
          <w:sz w:val="24"/>
          <w:szCs w:val="24"/>
          <w:lang w:val="en-GB"/>
        </w:rPr>
        <w:t>RESOLUTIONS, DECISIONS AND RECOMMENDATIONS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956"/>
        <w:gridCol w:w="6421"/>
      </w:tblGrid>
      <w:tr w:rsidR="00B65259" w:rsidRPr="00B65259" w14:paraId="69E34AC7" w14:textId="77777777" w:rsidTr="00F76A1E">
        <w:trPr>
          <w:tblHeader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50F53446" w14:textId="153225E3" w:rsidR="002468FA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t>RESOLUTIONS</w:t>
            </w:r>
          </w:p>
        </w:tc>
      </w:tr>
      <w:tr w:rsidR="00B65259" w:rsidRPr="00B65259" w14:paraId="619CE09D" w14:textId="77777777" w:rsidTr="00A10545">
        <w:trPr>
          <w:tblHeader/>
        </w:trPr>
        <w:tc>
          <w:tcPr>
            <w:tcW w:w="909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Session No.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Final No</w:t>
            </w:r>
            <w:r w:rsidR="007741CC" w:rsidRPr="00B65259">
              <w:rPr>
                <w:szCs w:val="20"/>
                <w:lang w:val="en-GB"/>
              </w:rPr>
              <w:t>.</w:t>
            </w:r>
          </w:p>
        </w:tc>
        <w:tc>
          <w:tcPr>
            <w:tcW w:w="3561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Title</w:t>
            </w:r>
          </w:p>
        </w:tc>
      </w:tr>
      <w:tr w:rsidR="00B65259" w:rsidRPr="00B65259" w14:paraId="731A6F08" w14:textId="77777777" w:rsidTr="00A10545">
        <w:tc>
          <w:tcPr>
            <w:tcW w:w="909" w:type="pct"/>
            <w:vAlign w:val="center"/>
          </w:tcPr>
          <w:p w14:paraId="5A61D82D" w14:textId="6CC7C317" w:rsidR="00595F9C" w:rsidRPr="00B65259" w:rsidRDefault="001005E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3.1/1</w:t>
            </w:r>
          </w:p>
        </w:tc>
        <w:tc>
          <w:tcPr>
            <w:tcW w:w="530" w:type="pct"/>
            <w:vAlign w:val="center"/>
          </w:tcPr>
          <w:p w14:paraId="76AF1AD3" w14:textId="7D4CDED6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</w:t>
            </w:r>
          </w:p>
        </w:tc>
        <w:tc>
          <w:tcPr>
            <w:tcW w:w="3561" w:type="pct"/>
          </w:tcPr>
          <w:p w14:paraId="36A500BF" w14:textId="15C70671" w:rsidR="00595F9C" w:rsidRPr="00B65259" w:rsidRDefault="00AC607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WMO Road Map for the Early Warnings for All Initiative</w:t>
            </w:r>
          </w:p>
        </w:tc>
      </w:tr>
      <w:tr w:rsidR="00B65259" w:rsidRPr="00B65259" w14:paraId="756030EC" w14:textId="77777777" w:rsidTr="00A10545">
        <w:trPr>
          <w:trHeight w:val="444"/>
        </w:trPr>
        <w:tc>
          <w:tcPr>
            <w:tcW w:w="909" w:type="pct"/>
            <w:vAlign w:val="center"/>
          </w:tcPr>
          <w:p w14:paraId="7F225E10" w14:textId="78B5D017" w:rsidR="00595F9C" w:rsidRPr="00B65259" w:rsidRDefault="00AC607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3.1/2</w:t>
            </w:r>
          </w:p>
        </w:tc>
        <w:tc>
          <w:tcPr>
            <w:tcW w:w="530" w:type="pct"/>
            <w:vAlign w:val="center"/>
          </w:tcPr>
          <w:p w14:paraId="647F89D7" w14:textId="090DC01E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2</w:t>
            </w:r>
          </w:p>
        </w:tc>
        <w:tc>
          <w:tcPr>
            <w:tcW w:w="3561" w:type="pct"/>
          </w:tcPr>
          <w:p w14:paraId="0BD7EB07" w14:textId="3D3FCCAE" w:rsidR="00595F9C" w:rsidRPr="00B65259" w:rsidRDefault="00D803B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Priority Activities contributing to the Early Warnings for All initiative</w:t>
            </w:r>
          </w:p>
        </w:tc>
      </w:tr>
      <w:tr w:rsidR="00B65259" w:rsidRPr="00B65259" w14:paraId="0E888877" w14:textId="77777777" w:rsidTr="00A10545">
        <w:tc>
          <w:tcPr>
            <w:tcW w:w="909" w:type="pct"/>
            <w:vAlign w:val="center"/>
          </w:tcPr>
          <w:p w14:paraId="54753EBC" w14:textId="5C1A737E" w:rsidR="00595F9C" w:rsidRPr="00B65259" w:rsidRDefault="00000638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3.2/1</w:t>
            </w:r>
          </w:p>
        </w:tc>
        <w:tc>
          <w:tcPr>
            <w:tcW w:w="530" w:type="pct"/>
            <w:vAlign w:val="center"/>
          </w:tcPr>
          <w:p w14:paraId="30F48744" w14:textId="6F8FE27D" w:rsidR="00595F9C" w:rsidRPr="00B65259" w:rsidRDefault="00595F9C" w:rsidP="00595F9C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B65259">
              <w:rPr>
                <w:szCs w:val="20"/>
                <w:lang w:val="en-GB"/>
              </w:rPr>
              <w:t>3</w:t>
            </w:r>
          </w:p>
        </w:tc>
        <w:tc>
          <w:tcPr>
            <w:tcW w:w="3561" w:type="pct"/>
          </w:tcPr>
          <w:p w14:paraId="2FF614CB" w14:textId="1DB3CF7D" w:rsidR="00595F9C" w:rsidRPr="00B65259" w:rsidRDefault="00000638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Implementation Plan for the Global Greenhouse Gas Watch</w:t>
            </w:r>
          </w:p>
        </w:tc>
      </w:tr>
      <w:tr w:rsidR="00B65259" w:rsidRPr="00B65259" w14:paraId="6C650361" w14:textId="77777777" w:rsidTr="00A10545">
        <w:tc>
          <w:tcPr>
            <w:tcW w:w="909" w:type="pct"/>
            <w:vAlign w:val="center"/>
          </w:tcPr>
          <w:p w14:paraId="3F6B85AE" w14:textId="19CE2C27" w:rsidR="00595F9C" w:rsidRPr="00B65259" w:rsidRDefault="000D29F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3.3/1</w:t>
            </w:r>
          </w:p>
        </w:tc>
        <w:tc>
          <w:tcPr>
            <w:tcW w:w="530" w:type="pct"/>
            <w:vAlign w:val="center"/>
          </w:tcPr>
          <w:p w14:paraId="1AF429F9" w14:textId="7DF0B9F6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4</w:t>
            </w:r>
          </w:p>
        </w:tc>
        <w:tc>
          <w:tcPr>
            <w:tcW w:w="3561" w:type="pct"/>
          </w:tcPr>
          <w:p w14:paraId="23FAED0E" w14:textId="0C68B77C" w:rsidR="00595F9C" w:rsidRPr="00B65259" w:rsidRDefault="000D29F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Cryosphere high-level ambitions</w:t>
            </w:r>
          </w:p>
        </w:tc>
      </w:tr>
      <w:tr w:rsidR="00B65259" w:rsidRPr="00B65259" w14:paraId="4B1206A6" w14:textId="77777777" w:rsidTr="00A10545">
        <w:tc>
          <w:tcPr>
            <w:tcW w:w="909" w:type="pct"/>
            <w:vAlign w:val="center"/>
          </w:tcPr>
          <w:p w14:paraId="58228954" w14:textId="069894D6" w:rsidR="00595F9C" w:rsidRPr="00B65259" w:rsidRDefault="008368F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4.1.1(1)/1</w:t>
            </w:r>
          </w:p>
        </w:tc>
        <w:tc>
          <w:tcPr>
            <w:tcW w:w="530" w:type="pct"/>
            <w:vAlign w:val="center"/>
          </w:tcPr>
          <w:p w14:paraId="3FFB4C6F" w14:textId="171B0995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561" w:type="pct"/>
          </w:tcPr>
          <w:p w14:paraId="26B00DE6" w14:textId="1E4E6C7D" w:rsidR="00595F9C" w:rsidRPr="00B65259" w:rsidRDefault="008368F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Implementation Plan on National Drought Early Warning Systems</w:t>
            </w:r>
          </w:p>
        </w:tc>
      </w:tr>
      <w:tr w:rsidR="00B65259" w:rsidRPr="00B65259" w14:paraId="57F35DB4" w14:textId="77777777" w:rsidTr="00A10545">
        <w:tc>
          <w:tcPr>
            <w:tcW w:w="909" w:type="pct"/>
            <w:vAlign w:val="center"/>
          </w:tcPr>
          <w:p w14:paraId="0D95DCD5" w14:textId="73E59C43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4.1.1(2)/1</w:t>
            </w:r>
          </w:p>
        </w:tc>
        <w:tc>
          <w:tcPr>
            <w:tcW w:w="530" w:type="pct"/>
            <w:vAlign w:val="center"/>
          </w:tcPr>
          <w:p w14:paraId="494598A4" w14:textId="034B4C4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561" w:type="pct"/>
          </w:tcPr>
          <w:p w14:paraId="0DFDAD70" w14:textId="505F8CC8" w:rsidR="00595F9C" w:rsidRPr="00B65259" w:rsidRDefault="0043039B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Additional drought indicators and indices for use by National Meteorological and Hydrological Services</w:t>
            </w:r>
          </w:p>
        </w:tc>
      </w:tr>
      <w:tr w:rsidR="00B65259" w:rsidRPr="00B65259" w14:paraId="577F0FC8" w14:textId="77777777" w:rsidTr="00A10545">
        <w:tc>
          <w:tcPr>
            <w:tcW w:w="909" w:type="pct"/>
            <w:vAlign w:val="center"/>
          </w:tcPr>
          <w:p w14:paraId="42AB8B5C" w14:textId="693E8B31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4.1.1(3)</w:t>
            </w:r>
            <w:r w:rsidR="00770B6D" w:rsidRPr="00B65259">
              <w:rPr>
                <w:szCs w:val="20"/>
              </w:rPr>
              <w:t>/1</w:t>
            </w:r>
          </w:p>
        </w:tc>
        <w:tc>
          <w:tcPr>
            <w:tcW w:w="530" w:type="pct"/>
            <w:vAlign w:val="center"/>
          </w:tcPr>
          <w:p w14:paraId="4A0E0E2E" w14:textId="7ABB287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561" w:type="pct"/>
          </w:tcPr>
          <w:p w14:paraId="1842D8AC" w14:textId="460877A4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Recommendations and Statement of the Eighth International Workshop on Volcanic Ash (</w:t>
            </w:r>
            <w:proofErr w:type="spellStart"/>
            <w:r w:rsidRPr="00B65259">
              <w:rPr>
                <w:szCs w:val="20"/>
              </w:rPr>
              <w:t>IWVA</w:t>
            </w:r>
            <w:proofErr w:type="spellEnd"/>
            <w:r w:rsidRPr="00B65259">
              <w:rPr>
                <w:szCs w:val="20"/>
              </w:rPr>
              <w:t>-8)</w:t>
            </w:r>
          </w:p>
        </w:tc>
      </w:tr>
      <w:tr w:rsidR="00B65259" w:rsidRPr="00B65259" w14:paraId="4763C7FB" w14:textId="77777777" w:rsidTr="00A10545">
        <w:tc>
          <w:tcPr>
            <w:tcW w:w="909" w:type="pct"/>
            <w:vAlign w:val="center"/>
          </w:tcPr>
          <w:p w14:paraId="3A20A765" w14:textId="63D7FE24" w:rsidR="00595F9C" w:rsidRPr="00B65259" w:rsidRDefault="00770B6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4.1.1(4)/1</w:t>
            </w:r>
          </w:p>
        </w:tc>
        <w:tc>
          <w:tcPr>
            <w:tcW w:w="530" w:type="pct"/>
            <w:vAlign w:val="center"/>
          </w:tcPr>
          <w:p w14:paraId="11C2A283" w14:textId="790D7A0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561" w:type="pct"/>
          </w:tcPr>
          <w:p w14:paraId="72E146BD" w14:textId="2BB8449B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Accelerating Climate Data Stewardship and Data Rescue</w:t>
            </w:r>
          </w:p>
        </w:tc>
      </w:tr>
      <w:tr w:rsidR="00B65259" w:rsidRPr="00B65259" w14:paraId="221DDE8A" w14:textId="77777777" w:rsidTr="00A10545">
        <w:tc>
          <w:tcPr>
            <w:tcW w:w="909" w:type="pct"/>
            <w:vAlign w:val="center"/>
          </w:tcPr>
          <w:p w14:paraId="49C63A95" w14:textId="64B38629" w:rsidR="00595F9C" w:rsidRPr="00B65259" w:rsidRDefault="00B8387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4.1.1(5)/1</w:t>
            </w:r>
          </w:p>
        </w:tc>
        <w:tc>
          <w:tcPr>
            <w:tcW w:w="530" w:type="pct"/>
            <w:vAlign w:val="center"/>
          </w:tcPr>
          <w:p w14:paraId="54C25074" w14:textId="150EA8D3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561" w:type="pct"/>
          </w:tcPr>
          <w:p w14:paraId="3D954250" w14:textId="4812293C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Road Map for the State of the Climate at Global and Regional Scales</w:t>
            </w:r>
          </w:p>
        </w:tc>
      </w:tr>
      <w:tr w:rsidR="00B65259" w:rsidRPr="00B65259" w14:paraId="0EF746F2" w14:textId="77777777" w:rsidTr="00A10545">
        <w:tc>
          <w:tcPr>
            <w:tcW w:w="909" w:type="pct"/>
            <w:vAlign w:val="center"/>
          </w:tcPr>
          <w:p w14:paraId="2B83A2F4" w14:textId="5127CB85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4.1.1(6)/1</w:t>
            </w:r>
          </w:p>
        </w:tc>
        <w:tc>
          <w:tcPr>
            <w:tcW w:w="530" w:type="pct"/>
            <w:vAlign w:val="center"/>
          </w:tcPr>
          <w:p w14:paraId="740F3EB5" w14:textId="6E6F512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561" w:type="pct"/>
          </w:tcPr>
          <w:p w14:paraId="07E59E51" w14:textId="0C2962DF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Establishment and functionalities of WMO accredited entity supporting El Niño/La Niña information</w:t>
            </w:r>
          </w:p>
        </w:tc>
      </w:tr>
      <w:tr w:rsidR="00B65259" w:rsidRPr="00B65259" w14:paraId="1CB8100E" w14:textId="77777777" w:rsidTr="00A10545">
        <w:tc>
          <w:tcPr>
            <w:tcW w:w="909" w:type="pct"/>
            <w:vAlign w:val="center"/>
          </w:tcPr>
          <w:p w14:paraId="023EB3BD" w14:textId="2484CE78" w:rsidR="00595F9C" w:rsidRPr="00B65259" w:rsidRDefault="0070375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4.1.1(7)/1</w:t>
            </w:r>
          </w:p>
        </w:tc>
        <w:tc>
          <w:tcPr>
            <w:tcW w:w="530" w:type="pct"/>
            <w:vAlign w:val="center"/>
          </w:tcPr>
          <w:p w14:paraId="3A820053" w14:textId="591FA211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11</w:t>
            </w:r>
          </w:p>
        </w:tc>
        <w:tc>
          <w:tcPr>
            <w:tcW w:w="3561" w:type="pct"/>
          </w:tcPr>
          <w:p w14:paraId="28533F81" w14:textId="5764D435" w:rsidR="00595F9C" w:rsidRPr="00B65259" w:rsidRDefault="0070375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Business Continuity Management Guidelines</w:t>
            </w:r>
          </w:p>
        </w:tc>
      </w:tr>
      <w:tr w:rsidR="00B65259" w:rsidRPr="00B65259" w14:paraId="2B6DC924" w14:textId="77777777" w:rsidTr="00A10545">
        <w:tc>
          <w:tcPr>
            <w:tcW w:w="909" w:type="pct"/>
            <w:vAlign w:val="center"/>
          </w:tcPr>
          <w:p w14:paraId="0067AC8A" w14:textId="0FD1FF32" w:rsidR="00595F9C" w:rsidRPr="00B65259" w:rsidRDefault="006A0C46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4.1.1(9)/1</w:t>
            </w:r>
          </w:p>
        </w:tc>
        <w:tc>
          <w:tcPr>
            <w:tcW w:w="530" w:type="pct"/>
            <w:vAlign w:val="center"/>
          </w:tcPr>
          <w:p w14:paraId="2452C8C8" w14:textId="6F755A5E" w:rsidR="00595F9C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12</w:t>
            </w:r>
          </w:p>
        </w:tc>
        <w:tc>
          <w:tcPr>
            <w:tcW w:w="3561" w:type="pct"/>
          </w:tcPr>
          <w:p w14:paraId="16ED5F4D" w14:textId="59118EF7" w:rsidR="00595F9C" w:rsidRPr="00B65259" w:rsidRDefault="0051400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Support Actions to Implementing Mechanisms for Health Science and Services</w:t>
            </w:r>
          </w:p>
        </w:tc>
      </w:tr>
      <w:tr w:rsidR="00B65259" w:rsidRPr="00B65259" w14:paraId="413E3998" w14:textId="77777777" w:rsidTr="00A10545">
        <w:tc>
          <w:tcPr>
            <w:tcW w:w="909" w:type="pct"/>
            <w:vAlign w:val="center"/>
          </w:tcPr>
          <w:p w14:paraId="536F81A7" w14:textId="30704C90" w:rsidR="00E2171D" w:rsidRPr="00B65259" w:rsidRDefault="008E368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4.1.2(1)/1</w:t>
            </w:r>
          </w:p>
        </w:tc>
        <w:tc>
          <w:tcPr>
            <w:tcW w:w="530" w:type="pct"/>
            <w:vAlign w:val="center"/>
          </w:tcPr>
          <w:p w14:paraId="77CDB9AF" w14:textId="4524B6F1" w:rsidR="00E2171D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13</w:t>
            </w:r>
          </w:p>
        </w:tc>
        <w:tc>
          <w:tcPr>
            <w:tcW w:w="3561" w:type="pct"/>
          </w:tcPr>
          <w:p w14:paraId="2A595C7F" w14:textId="030CB733" w:rsidR="00E2171D" w:rsidRPr="00B65259" w:rsidRDefault="008E368C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Global Observing System (WMO-No. 1160)</w:t>
            </w:r>
          </w:p>
        </w:tc>
      </w:tr>
      <w:tr w:rsidR="00B65259" w:rsidRPr="00B65259" w14:paraId="3474FDD5" w14:textId="77777777" w:rsidTr="00A10545">
        <w:tc>
          <w:tcPr>
            <w:tcW w:w="909" w:type="pct"/>
            <w:vAlign w:val="center"/>
          </w:tcPr>
          <w:p w14:paraId="16ECB96F" w14:textId="79700237" w:rsidR="00E2171D" w:rsidRPr="00B65259" w:rsidRDefault="00E33E5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4.1.2(2)/1</w:t>
            </w:r>
          </w:p>
        </w:tc>
        <w:tc>
          <w:tcPr>
            <w:tcW w:w="530" w:type="pct"/>
            <w:vAlign w:val="center"/>
          </w:tcPr>
          <w:p w14:paraId="1292A6E7" w14:textId="60E9B9B5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14</w:t>
            </w:r>
          </w:p>
        </w:tc>
        <w:tc>
          <w:tcPr>
            <w:tcW w:w="3561" w:type="pct"/>
          </w:tcPr>
          <w:p w14:paraId="1F199BA6" w14:textId="459CD0B1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Global Basic Observing Network Implementation and the Systematic Observations Financing Facility</w:t>
            </w:r>
          </w:p>
        </w:tc>
      </w:tr>
      <w:tr w:rsidR="00B65259" w:rsidRPr="00B65259" w14:paraId="01E9A942" w14:textId="77777777" w:rsidTr="00A10545">
        <w:tc>
          <w:tcPr>
            <w:tcW w:w="909" w:type="pct"/>
            <w:vAlign w:val="center"/>
          </w:tcPr>
          <w:p w14:paraId="50CFA043" w14:textId="27D6D4CD" w:rsidR="00E2171D" w:rsidRPr="00B65259" w:rsidRDefault="00F16FE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4.1.2(3)/1</w:t>
            </w:r>
          </w:p>
        </w:tc>
        <w:tc>
          <w:tcPr>
            <w:tcW w:w="530" w:type="pct"/>
            <w:vAlign w:val="center"/>
          </w:tcPr>
          <w:p w14:paraId="48440142" w14:textId="165410C3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15</w:t>
            </w:r>
          </w:p>
        </w:tc>
        <w:tc>
          <w:tcPr>
            <w:tcW w:w="3561" w:type="pct"/>
          </w:tcPr>
          <w:p w14:paraId="73F10F6C" w14:textId="57C6301B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Information System (WMO-No. 1060)</w:t>
            </w:r>
          </w:p>
        </w:tc>
      </w:tr>
      <w:tr w:rsidR="00B65259" w:rsidRPr="00B65259" w14:paraId="617A268E" w14:textId="77777777" w:rsidTr="00A10545">
        <w:tc>
          <w:tcPr>
            <w:tcW w:w="909" w:type="pct"/>
            <w:vAlign w:val="center"/>
          </w:tcPr>
          <w:p w14:paraId="1BA7834A" w14:textId="4CBD213A" w:rsidR="00E2171D" w:rsidRPr="00B65259" w:rsidRDefault="001A305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4.1.2(4)/1</w:t>
            </w:r>
          </w:p>
        </w:tc>
        <w:tc>
          <w:tcPr>
            <w:tcW w:w="530" w:type="pct"/>
            <w:vAlign w:val="center"/>
          </w:tcPr>
          <w:p w14:paraId="0464743F" w14:textId="39EFEF5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16</w:t>
            </w:r>
          </w:p>
        </w:tc>
        <w:tc>
          <w:tcPr>
            <w:tcW w:w="3561" w:type="pct"/>
          </w:tcPr>
          <w:p w14:paraId="1CCC3782" w14:textId="70A73B2A" w:rsidR="00E2171D" w:rsidRPr="00B65259" w:rsidRDefault="001A305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Transition from WIS 1.0 and Global Telecommunication System (GTS) to WIS 2.0, including capacity development</w:t>
            </w:r>
          </w:p>
        </w:tc>
      </w:tr>
      <w:tr w:rsidR="00B65259" w:rsidRPr="00B65259" w14:paraId="5788304A" w14:textId="77777777" w:rsidTr="00A10545">
        <w:tc>
          <w:tcPr>
            <w:tcW w:w="909" w:type="pct"/>
            <w:vAlign w:val="center"/>
          </w:tcPr>
          <w:p w14:paraId="35F47127" w14:textId="71C6B8C3" w:rsidR="00E2171D" w:rsidRPr="00B65259" w:rsidRDefault="000507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4.1.2(5)/1</w:t>
            </w:r>
          </w:p>
        </w:tc>
        <w:tc>
          <w:tcPr>
            <w:tcW w:w="530" w:type="pct"/>
            <w:vAlign w:val="center"/>
          </w:tcPr>
          <w:p w14:paraId="7DA5C6A5" w14:textId="18681B1B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17</w:t>
            </w:r>
          </w:p>
        </w:tc>
        <w:tc>
          <w:tcPr>
            <w:tcW w:w="3561" w:type="pct"/>
          </w:tcPr>
          <w:p w14:paraId="5BC2B435" w14:textId="0BDBBA7D" w:rsidR="00E2171D" w:rsidRPr="00B65259" w:rsidRDefault="000507A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Codes (WMO-No. 306)</w:t>
            </w:r>
          </w:p>
        </w:tc>
      </w:tr>
      <w:tr w:rsidR="00B65259" w:rsidRPr="00B65259" w14:paraId="23A500E3" w14:textId="77777777" w:rsidTr="00A10545">
        <w:tc>
          <w:tcPr>
            <w:tcW w:w="909" w:type="pct"/>
            <w:vAlign w:val="center"/>
          </w:tcPr>
          <w:p w14:paraId="7A82DF31" w14:textId="004C59AF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lastRenderedPageBreak/>
              <w:t>4.1.2(6)/1</w:t>
            </w:r>
          </w:p>
        </w:tc>
        <w:tc>
          <w:tcPr>
            <w:tcW w:w="530" w:type="pct"/>
            <w:vAlign w:val="center"/>
          </w:tcPr>
          <w:p w14:paraId="09B95CBB" w14:textId="19E53928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18</w:t>
            </w:r>
          </w:p>
        </w:tc>
        <w:tc>
          <w:tcPr>
            <w:tcW w:w="3561" w:type="pct"/>
          </w:tcPr>
          <w:p w14:paraId="27272436" w14:textId="060A24FC" w:rsidR="00E2171D" w:rsidRPr="00B65259" w:rsidRDefault="0010215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weather prediction</w:t>
            </w:r>
          </w:p>
        </w:tc>
      </w:tr>
      <w:tr w:rsidR="00B65259" w:rsidRPr="00B65259" w14:paraId="47EF6691" w14:textId="77777777" w:rsidTr="00A10545">
        <w:tc>
          <w:tcPr>
            <w:tcW w:w="909" w:type="pct"/>
            <w:vAlign w:val="center"/>
          </w:tcPr>
          <w:p w14:paraId="6C0C84B5" w14:textId="606ABD0D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4.1.2(6)/2</w:t>
            </w:r>
          </w:p>
        </w:tc>
        <w:tc>
          <w:tcPr>
            <w:tcW w:w="530" w:type="pct"/>
            <w:vAlign w:val="center"/>
          </w:tcPr>
          <w:p w14:paraId="374BFD07" w14:textId="4F88FB6E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19</w:t>
            </w:r>
          </w:p>
        </w:tc>
        <w:tc>
          <w:tcPr>
            <w:tcW w:w="3561" w:type="pct"/>
          </w:tcPr>
          <w:p w14:paraId="7936D752" w14:textId="323A8AE0" w:rsidR="00E2171D" w:rsidRPr="00B65259" w:rsidRDefault="00AE5C7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climate prediction</w:t>
            </w:r>
          </w:p>
        </w:tc>
      </w:tr>
      <w:tr w:rsidR="00B65259" w:rsidRPr="00B65259" w14:paraId="760707A0" w14:textId="77777777" w:rsidTr="00A10545">
        <w:tc>
          <w:tcPr>
            <w:tcW w:w="909" w:type="pct"/>
            <w:vAlign w:val="center"/>
          </w:tcPr>
          <w:p w14:paraId="26599ED1" w14:textId="545A7683" w:rsidR="00E2171D" w:rsidRPr="00B65259" w:rsidRDefault="00E317B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4.1.2(6)/3</w:t>
            </w:r>
          </w:p>
        </w:tc>
        <w:tc>
          <w:tcPr>
            <w:tcW w:w="530" w:type="pct"/>
            <w:vAlign w:val="center"/>
          </w:tcPr>
          <w:p w14:paraId="572E7930" w14:textId="2A86A48A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20</w:t>
            </w:r>
          </w:p>
        </w:tc>
        <w:tc>
          <w:tcPr>
            <w:tcW w:w="3561" w:type="pct"/>
          </w:tcPr>
          <w:p w14:paraId="2CEC084C" w14:textId="3E30E7D2" w:rsidR="00E2171D" w:rsidRPr="00B65259" w:rsidRDefault="00E317B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water and environmental prediction</w:t>
            </w:r>
          </w:p>
        </w:tc>
      </w:tr>
      <w:tr w:rsidR="00B65259" w:rsidRPr="00B65259" w14:paraId="2F35E585" w14:textId="77777777" w:rsidTr="00A10545">
        <w:tc>
          <w:tcPr>
            <w:tcW w:w="909" w:type="pct"/>
            <w:vAlign w:val="center"/>
          </w:tcPr>
          <w:p w14:paraId="3E0C51BA" w14:textId="11C7DA5B" w:rsidR="00E2171D" w:rsidRPr="00B65259" w:rsidRDefault="004E1C9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4.1.2(7)/1</w:t>
            </w:r>
          </w:p>
        </w:tc>
        <w:tc>
          <w:tcPr>
            <w:tcW w:w="530" w:type="pct"/>
            <w:vAlign w:val="center"/>
          </w:tcPr>
          <w:p w14:paraId="79A80FB4" w14:textId="159703C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21</w:t>
            </w:r>
          </w:p>
        </w:tc>
        <w:tc>
          <w:tcPr>
            <w:tcW w:w="3561" w:type="pct"/>
          </w:tcPr>
          <w:p w14:paraId="3F6F6301" w14:textId="561B2074" w:rsidR="00E2171D" w:rsidRPr="00B65259" w:rsidRDefault="004E1C9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Contribution of non-traditional sources to the WMO Integrated Processing and Prediction System</w:t>
            </w:r>
          </w:p>
        </w:tc>
      </w:tr>
      <w:tr w:rsidR="00B65259" w:rsidRPr="00B65259" w14:paraId="1C3316D2" w14:textId="77777777" w:rsidTr="00A10545">
        <w:tc>
          <w:tcPr>
            <w:tcW w:w="909" w:type="pct"/>
            <w:vAlign w:val="center"/>
          </w:tcPr>
          <w:p w14:paraId="26128112" w14:textId="58D6B29C" w:rsidR="00E2171D" w:rsidRPr="00B65259" w:rsidRDefault="00A15C8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4.1.2(8)/1</w:t>
            </w:r>
          </w:p>
        </w:tc>
        <w:tc>
          <w:tcPr>
            <w:tcW w:w="530" w:type="pct"/>
            <w:vAlign w:val="center"/>
          </w:tcPr>
          <w:p w14:paraId="2EEE523A" w14:textId="57453244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22</w:t>
            </w:r>
          </w:p>
        </w:tc>
        <w:tc>
          <w:tcPr>
            <w:tcW w:w="3561" w:type="pct"/>
          </w:tcPr>
          <w:p w14:paraId="07D547E0" w14:textId="289D3A4D" w:rsidR="00E2171D" w:rsidRPr="00B65259" w:rsidRDefault="00163940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Four-year Plan for WMO Activities related to Space Weather 2024-2027</w:t>
            </w:r>
          </w:p>
        </w:tc>
      </w:tr>
      <w:tr w:rsidR="00B65259" w:rsidRPr="00B65259" w14:paraId="14FB20C0" w14:textId="77777777" w:rsidTr="00A10545">
        <w:tc>
          <w:tcPr>
            <w:tcW w:w="909" w:type="pct"/>
            <w:vAlign w:val="center"/>
          </w:tcPr>
          <w:p w14:paraId="7218F2BB" w14:textId="1D4E5391" w:rsidR="00E2171D" w:rsidRPr="00B65259" w:rsidRDefault="00EB653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4.1.2(9)/1</w:t>
            </w:r>
          </w:p>
        </w:tc>
        <w:tc>
          <w:tcPr>
            <w:tcW w:w="530" w:type="pct"/>
            <w:vAlign w:val="center"/>
          </w:tcPr>
          <w:p w14:paraId="4224DBE8" w14:textId="466013FF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23</w:t>
            </w:r>
          </w:p>
        </w:tc>
        <w:tc>
          <w:tcPr>
            <w:tcW w:w="3561" w:type="pct"/>
          </w:tcPr>
          <w:p w14:paraId="1B152362" w14:textId="6FF85F76" w:rsidR="00E2171D" w:rsidRPr="00B65259" w:rsidRDefault="00EB653E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Recognition of Centennial Observing Stations</w:t>
            </w:r>
          </w:p>
        </w:tc>
      </w:tr>
      <w:tr w:rsidR="00B65259" w:rsidRPr="00B65259" w14:paraId="4CEAF41E" w14:textId="77777777" w:rsidTr="00A10545">
        <w:tc>
          <w:tcPr>
            <w:tcW w:w="909" w:type="pct"/>
            <w:vAlign w:val="center"/>
          </w:tcPr>
          <w:p w14:paraId="433D9055" w14:textId="0482206D" w:rsidR="00E2171D" w:rsidRPr="00B65259" w:rsidRDefault="002D097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4.1.3/1</w:t>
            </w:r>
          </w:p>
        </w:tc>
        <w:tc>
          <w:tcPr>
            <w:tcW w:w="530" w:type="pct"/>
            <w:vAlign w:val="center"/>
          </w:tcPr>
          <w:p w14:paraId="2BD6D87C" w14:textId="6E620AE7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24</w:t>
            </w:r>
          </w:p>
        </w:tc>
        <w:tc>
          <w:tcPr>
            <w:tcW w:w="3561" w:type="pct"/>
          </w:tcPr>
          <w:p w14:paraId="6C3BCB16" w14:textId="12822F5E" w:rsidR="00E2171D" w:rsidRPr="00B65259" w:rsidRDefault="00CA001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Designation and reconfirmation of WMO Regional Training </w:t>
            </w:r>
            <w:proofErr w:type="spellStart"/>
            <w:r w:rsidRPr="00B65259">
              <w:rPr>
                <w:szCs w:val="20"/>
              </w:rPr>
              <w:t>Centres</w:t>
            </w:r>
            <w:proofErr w:type="spellEnd"/>
            <w:r w:rsidRPr="00B65259">
              <w:rPr>
                <w:szCs w:val="20"/>
              </w:rPr>
              <w:t xml:space="preserve"> (</w:t>
            </w:r>
            <w:proofErr w:type="spellStart"/>
            <w:r w:rsidRPr="00B65259">
              <w:rPr>
                <w:szCs w:val="20"/>
              </w:rPr>
              <w:t>RTCs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084ED042" w14:textId="77777777" w:rsidTr="00A10545">
        <w:tc>
          <w:tcPr>
            <w:tcW w:w="909" w:type="pct"/>
            <w:vAlign w:val="center"/>
          </w:tcPr>
          <w:p w14:paraId="36C882D0" w14:textId="33AFA143" w:rsidR="00E2171D" w:rsidRPr="00B65259" w:rsidRDefault="005A266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4.2.1/1</w:t>
            </w:r>
          </w:p>
        </w:tc>
        <w:tc>
          <w:tcPr>
            <w:tcW w:w="530" w:type="pct"/>
            <w:vAlign w:val="center"/>
          </w:tcPr>
          <w:p w14:paraId="454F3643" w14:textId="0CEED0E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25</w:t>
            </w:r>
          </w:p>
        </w:tc>
        <w:tc>
          <w:tcPr>
            <w:tcW w:w="3561" w:type="pct"/>
          </w:tcPr>
          <w:p w14:paraId="0AE18242" w14:textId="3D145850" w:rsidR="00E2171D" w:rsidRPr="00B65259" w:rsidRDefault="005A2661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WMO Major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for the nineteenth financial period</w:t>
            </w:r>
          </w:p>
        </w:tc>
      </w:tr>
      <w:tr w:rsidR="00B65259" w:rsidRPr="00B65259" w14:paraId="6658A2E9" w14:textId="77777777" w:rsidTr="00A10545">
        <w:tc>
          <w:tcPr>
            <w:tcW w:w="909" w:type="pct"/>
            <w:vAlign w:val="center"/>
          </w:tcPr>
          <w:p w14:paraId="7D65847E" w14:textId="21ED0A07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6(1)/1</w:t>
            </w:r>
          </w:p>
        </w:tc>
        <w:tc>
          <w:tcPr>
            <w:tcW w:w="530" w:type="pct"/>
            <w:vAlign w:val="center"/>
          </w:tcPr>
          <w:p w14:paraId="3A98DEF8" w14:textId="78F61F7D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26</w:t>
            </w:r>
          </w:p>
        </w:tc>
        <w:tc>
          <w:tcPr>
            <w:tcW w:w="3561" w:type="pct"/>
          </w:tcPr>
          <w:p w14:paraId="15AE9A0D" w14:textId="02C0FB2C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Revision of the Guidelines for Public-Private Engagement (WMO-No. 1258)</w:t>
            </w:r>
          </w:p>
        </w:tc>
      </w:tr>
      <w:tr w:rsidR="00B65259" w:rsidRPr="00B65259" w14:paraId="4870DE77" w14:textId="77777777" w:rsidTr="00A10545">
        <w:tc>
          <w:tcPr>
            <w:tcW w:w="909" w:type="pct"/>
            <w:vAlign w:val="center"/>
          </w:tcPr>
          <w:p w14:paraId="6F9D6319" w14:textId="0528EDFF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6(2)/1</w:t>
            </w:r>
          </w:p>
        </w:tc>
        <w:tc>
          <w:tcPr>
            <w:tcW w:w="530" w:type="pct"/>
            <w:vAlign w:val="center"/>
          </w:tcPr>
          <w:p w14:paraId="03EFAFD8" w14:textId="7BE1CF85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27</w:t>
            </w:r>
          </w:p>
        </w:tc>
        <w:tc>
          <w:tcPr>
            <w:tcW w:w="3561" w:type="pct"/>
          </w:tcPr>
          <w:p w14:paraId="1D39AB64" w14:textId="669B27E0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Establish a Code of Ethics between WMO and the Association of the </w:t>
            </w:r>
            <w:proofErr w:type="spellStart"/>
            <w:r w:rsidRPr="00B65259">
              <w:rPr>
                <w:szCs w:val="20"/>
              </w:rPr>
              <w:t>HydroMeteorological</w:t>
            </w:r>
            <w:proofErr w:type="spellEnd"/>
            <w:r w:rsidRPr="00B65259">
              <w:rPr>
                <w:szCs w:val="20"/>
              </w:rPr>
              <w:t xml:space="preserve"> and Environmental Industry (</w:t>
            </w:r>
            <w:proofErr w:type="spellStart"/>
            <w:r w:rsidRPr="00B65259">
              <w:rPr>
                <w:szCs w:val="20"/>
              </w:rPr>
              <w:t>HMEI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47CEE33C" w14:textId="77777777" w:rsidTr="00FF00F3">
        <w:tc>
          <w:tcPr>
            <w:tcW w:w="909" w:type="pct"/>
            <w:vAlign w:val="center"/>
          </w:tcPr>
          <w:p w14:paraId="21B1DB00" w14:textId="23BA71F3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6(3)/1</w:t>
            </w:r>
          </w:p>
        </w:tc>
        <w:tc>
          <w:tcPr>
            <w:tcW w:w="530" w:type="pct"/>
            <w:vAlign w:val="center"/>
          </w:tcPr>
          <w:p w14:paraId="3F2B5129" w14:textId="41A13E7C" w:rsidR="00E2171D" w:rsidRPr="00B65259" w:rsidRDefault="003D6569" w:rsidP="00FF00F3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28</w:t>
            </w:r>
          </w:p>
        </w:tc>
        <w:tc>
          <w:tcPr>
            <w:tcW w:w="3561" w:type="pct"/>
          </w:tcPr>
          <w:p w14:paraId="7BD57AA4" w14:textId="48B847C0" w:rsidR="00E2171D" w:rsidRPr="00B65259" w:rsidRDefault="00FB517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Role of WMO on the coordination of meteorological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in Antarctica, as operated by Members</w:t>
            </w:r>
          </w:p>
        </w:tc>
      </w:tr>
      <w:tr w:rsidR="00B65259" w:rsidRPr="00B65259" w14:paraId="05D46775" w14:textId="77777777" w:rsidTr="00FF00F3">
        <w:tc>
          <w:tcPr>
            <w:tcW w:w="909" w:type="pct"/>
            <w:vAlign w:val="center"/>
          </w:tcPr>
          <w:p w14:paraId="7DA114A2" w14:textId="06112739" w:rsidR="00E2171D" w:rsidRPr="00B65259" w:rsidRDefault="000B4ED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7.2/1</w:t>
            </w:r>
          </w:p>
        </w:tc>
        <w:tc>
          <w:tcPr>
            <w:tcW w:w="530" w:type="pct"/>
            <w:vAlign w:val="center"/>
          </w:tcPr>
          <w:p w14:paraId="27A183B6" w14:textId="7336A6AE" w:rsidR="00E2171D" w:rsidRPr="00B65259" w:rsidRDefault="003D6569" w:rsidP="00FF00F3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29</w:t>
            </w:r>
          </w:p>
        </w:tc>
        <w:tc>
          <w:tcPr>
            <w:tcW w:w="3561" w:type="pct"/>
          </w:tcPr>
          <w:p w14:paraId="7A46B681" w14:textId="1EABF2F4" w:rsidR="00E2171D" w:rsidRPr="00B65259" w:rsidRDefault="00532BB3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Revised Rules of Procedure of the Research Board</w:t>
            </w:r>
          </w:p>
        </w:tc>
      </w:tr>
      <w:tr w:rsidR="00B65259" w:rsidRPr="00B65259" w14:paraId="32E229DF" w14:textId="77777777" w:rsidTr="00FF00F3">
        <w:tc>
          <w:tcPr>
            <w:tcW w:w="909" w:type="pct"/>
            <w:vAlign w:val="center"/>
          </w:tcPr>
          <w:p w14:paraId="5C4FB062" w14:textId="43F645F2" w:rsidR="00E2171D" w:rsidRPr="00B65259" w:rsidRDefault="00601A1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7.3(1)/1</w:t>
            </w:r>
          </w:p>
        </w:tc>
        <w:tc>
          <w:tcPr>
            <w:tcW w:w="530" w:type="pct"/>
            <w:vAlign w:val="center"/>
          </w:tcPr>
          <w:p w14:paraId="782E753E" w14:textId="6A2FF85D" w:rsidR="00E2171D" w:rsidRPr="00B65259" w:rsidRDefault="003D6569" w:rsidP="00FF00F3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30</w:t>
            </w:r>
          </w:p>
        </w:tc>
        <w:tc>
          <w:tcPr>
            <w:tcW w:w="3561" w:type="pct"/>
          </w:tcPr>
          <w:p w14:paraId="2954BCF7" w14:textId="08B0902D" w:rsidR="00E2171D" w:rsidRPr="00B65259" w:rsidRDefault="00601A1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Terms of reference of the Task Force on Elections and Appointments</w:t>
            </w:r>
          </w:p>
        </w:tc>
      </w:tr>
      <w:tr w:rsidR="00B65259" w:rsidRPr="00B65259" w14:paraId="46E92991" w14:textId="77777777" w:rsidTr="00FF00F3">
        <w:tc>
          <w:tcPr>
            <w:tcW w:w="909" w:type="pct"/>
            <w:vAlign w:val="center"/>
          </w:tcPr>
          <w:p w14:paraId="3BBF8058" w14:textId="25E30984" w:rsidR="00532BB3" w:rsidRPr="00B65259" w:rsidRDefault="009B72C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7.5/1</w:t>
            </w:r>
          </w:p>
        </w:tc>
        <w:tc>
          <w:tcPr>
            <w:tcW w:w="530" w:type="pct"/>
            <w:vAlign w:val="center"/>
          </w:tcPr>
          <w:p w14:paraId="3CAB7940" w14:textId="15EF36B6" w:rsidR="00532BB3" w:rsidRPr="00B65259" w:rsidRDefault="00A10545" w:rsidP="00FF00F3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31</w:t>
            </w:r>
          </w:p>
        </w:tc>
        <w:tc>
          <w:tcPr>
            <w:tcW w:w="3561" w:type="pct"/>
          </w:tcPr>
          <w:p w14:paraId="19575874" w14:textId="13B6124D" w:rsidR="00532BB3" w:rsidRPr="00FF00F3" w:rsidRDefault="002C4D9A" w:rsidP="00FF00F3">
            <w:pPr>
              <w:spacing w:before="120" w:after="120"/>
              <w:rPr>
                <w:szCs w:val="20"/>
              </w:rPr>
            </w:pPr>
            <w:r w:rsidRPr="00FF00F3">
              <w:rPr>
                <w:szCs w:val="20"/>
              </w:rPr>
              <w:t>Revision of the terms of reference of bodies reporting to the Executive Council</w:t>
            </w:r>
          </w:p>
        </w:tc>
      </w:tr>
      <w:tr w:rsidR="00B65259" w:rsidRPr="00B65259" w14:paraId="21A700A1" w14:textId="77777777" w:rsidTr="00FF00F3">
        <w:tc>
          <w:tcPr>
            <w:tcW w:w="909" w:type="pct"/>
            <w:vAlign w:val="center"/>
          </w:tcPr>
          <w:p w14:paraId="44328B24" w14:textId="7ED725CB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8(1)/1</w:t>
            </w:r>
          </w:p>
        </w:tc>
        <w:tc>
          <w:tcPr>
            <w:tcW w:w="530" w:type="pct"/>
            <w:vAlign w:val="center"/>
          </w:tcPr>
          <w:p w14:paraId="6210C808" w14:textId="04E138CF" w:rsidR="00532BB3" w:rsidRPr="00B65259" w:rsidRDefault="00A10545" w:rsidP="00FF00F3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32</w:t>
            </w:r>
          </w:p>
        </w:tc>
        <w:tc>
          <w:tcPr>
            <w:tcW w:w="3561" w:type="pct"/>
          </w:tcPr>
          <w:p w14:paraId="38D6C096" w14:textId="115545EA" w:rsidR="00532BB3" w:rsidRPr="00B65259" w:rsidRDefault="00640F9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Financial Statements of the World Meteorological Organization for the year 2023</w:t>
            </w:r>
          </w:p>
        </w:tc>
      </w:tr>
      <w:tr w:rsidR="00B65259" w:rsidRPr="00B65259" w14:paraId="56506C9A" w14:textId="77777777" w:rsidTr="00FF00F3">
        <w:tc>
          <w:tcPr>
            <w:tcW w:w="909" w:type="pct"/>
            <w:vAlign w:val="center"/>
          </w:tcPr>
          <w:p w14:paraId="30CCD90C" w14:textId="642A1746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8(2)/1</w:t>
            </w:r>
          </w:p>
        </w:tc>
        <w:tc>
          <w:tcPr>
            <w:tcW w:w="530" w:type="pct"/>
            <w:vAlign w:val="center"/>
          </w:tcPr>
          <w:p w14:paraId="3DAF774D" w14:textId="5AED09DD" w:rsidR="00532BB3" w:rsidRPr="00B65259" w:rsidRDefault="00A10545" w:rsidP="00FF00F3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33</w:t>
            </w:r>
          </w:p>
        </w:tc>
        <w:tc>
          <w:tcPr>
            <w:tcW w:w="3561" w:type="pct"/>
          </w:tcPr>
          <w:p w14:paraId="0F80ABED" w14:textId="092C8A16" w:rsidR="00532BB3" w:rsidRPr="00B65259" w:rsidRDefault="00480E0C" w:rsidP="00595F9C">
            <w:pPr>
              <w:spacing w:before="120" w:after="120"/>
              <w:rPr>
                <w:szCs w:val="20"/>
                <w:lang w:val="en-GB"/>
              </w:rPr>
            </w:pPr>
            <w:proofErr w:type="spellStart"/>
            <w:r w:rsidRPr="00B65259">
              <w:rPr>
                <w:szCs w:val="20"/>
              </w:rPr>
              <w:t>Interpart</w:t>
            </w:r>
            <w:proofErr w:type="spellEnd"/>
            <w:r w:rsidRPr="00B65259">
              <w:rPr>
                <w:szCs w:val="20"/>
              </w:rPr>
              <w:t xml:space="preserve"> Transfers</w:t>
            </w:r>
          </w:p>
        </w:tc>
      </w:tr>
      <w:tr w:rsidR="00B65259" w:rsidRPr="00B65259" w14:paraId="41BF3BDB" w14:textId="77777777" w:rsidTr="00FF00F3">
        <w:tc>
          <w:tcPr>
            <w:tcW w:w="909" w:type="pct"/>
            <w:vAlign w:val="center"/>
          </w:tcPr>
          <w:p w14:paraId="6B577831" w14:textId="774BA9D2" w:rsidR="00532BB3" w:rsidRPr="00B65259" w:rsidRDefault="00D8411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11/1</w:t>
            </w:r>
          </w:p>
        </w:tc>
        <w:tc>
          <w:tcPr>
            <w:tcW w:w="530" w:type="pct"/>
            <w:vAlign w:val="center"/>
          </w:tcPr>
          <w:p w14:paraId="15AAE597" w14:textId="6907FE47" w:rsidR="00532BB3" w:rsidRPr="00B65259" w:rsidRDefault="00A10545" w:rsidP="00FF00F3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34</w:t>
            </w:r>
          </w:p>
        </w:tc>
        <w:tc>
          <w:tcPr>
            <w:tcW w:w="3561" w:type="pct"/>
          </w:tcPr>
          <w:p w14:paraId="58369A03" w14:textId="0D37F972" w:rsidR="00532BB3" w:rsidRPr="00B65259" w:rsidRDefault="00A10545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Review of previous resolutions of the Executive Council</w:t>
            </w:r>
          </w:p>
        </w:tc>
      </w:tr>
    </w:tbl>
    <w:p w14:paraId="2C76759D" w14:textId="37EA4814" w:rsidR="006D1FC2" w:rsidRPr="00F76A1E" w:rsidRDefault="006D1FC2">
      <w:pPr>
        <w:spacing w:before="0" w:after="160" w:line="259" w:lineRule="auto"/>
        <w:rPr>
          <w:sz w:val="4"/>
          <w:szCs w:val="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9"/>
        <w:gridCol w:w="896"/>
        <w:gridCol w:w="6751"/>
      </w:tblGrid>
      <w:tr w:rsidR="006B3DF5" w:rsidRPr="00DA6AB5" w14:paraId="2355CC05" w14:textId="77777777" w:rsidTr="00F76A1E">
        <w:trPr>
          <w:tblHeader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1BC302F9" w14:textId="11BE4572" w:rsidR="00A02746" w:rsidRPr="00F76A1E" w:rsidRDefault="0029406E" w:rsidP="00895655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color w:val="FFFFFF" w:themeColor="background1"/>
                <w:szCs w:val="20"/>
                <w:lang w:val="en-GB"/>
              </w:rPr>
              <w:lastRenderedPageBreak/>
              <w:t>DECISIONS</w:t>
            </w:r>
          </w:p>
        </w:tc>
      </w:tr>
      <w:tr w:rsidR="006B3DF5" w:rsidRPr="00DA6AB5" w14:paraId="743DB130" w14:textId="77777777" w:rsidTr="00EE1DA0">
        <w:trPr>
          <w:tblHeader/>
        </w:trPr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2D80B32F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Session No.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Final No</w:t>
            </w:r>
            <w:r w:rsidR="007741CC" w:rsidRPr="00DA6AB5">
              <w:rPr>
                <w:szCs w:val="20"/>
                <w:lang w:val="en-GB"/>
              </w:rPr>
              <w:t>.</w:t>
            </w:r>
          </w:p>
        </w:tc>
        <w:tc>
          <w:tcPr>
            <w:tcW w:w="3744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Title</w:t>
            </w:r>
          </w:p>
        </w:tc>
      </w:tr>
      <w:tr w:rsidR="006B3DF5" w:rsidRPr="00DA6AB5" w14:paraId="39185561" w14:textId="77777777" w:rsidTr="00EE1DA0">
        <w:tc>
          <w:tcPr>
            <w:tcW w:w="759" w:type="pct"/>
            <w:vAlign w:val="center"/>
          </w:tcPr>
          <w:p w14:paraId="7DC371AC" w14:textId="2D3EA011" w:rsidR="00627419" w:rsidRPr="00DA6AB5" w:rsidRDefault="0070564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1(1)/1</w:t>
            </w:r>
          </w:p>
        </w:tc>
        <w:tc>
          <w:tcPr>
            <w:tcW w:w="497" w:type="pct"/>
            <w:vAlign w:val="center"/>
          </w:tcPr>
          <w:p w14:paraId="4DECE1C6" w14:textId="560218B1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1</w:t>
            </w:r>
          </w:p>
        </w:tc>
        <w:tc>
          <w:tcPr>
            <w:tcW w:w="3744" w:type="pct"/>
          </w:tcPr>
          <w:p w14:paraId="139E4060" w14:textId="2251941D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Methods of work for sessions of the Executive Council</w:t>
            </w:r>
          </w:p>
        </w:tc>
      </w:tr>
      <w:tr w:rsidR="006B3DF5" w:rsidRPr="00DA6AB5" w14:paraId="1A061461" w14:textId="77777777" w:rsidTr="00EE1DA0">
        <w:tc>
          <w:tcPr>
            <w:tcW w:w="759" w:type="pct"/>
            <w:vAlign w:val="center"/>
          </w:tcPr>
          <w:p w14:paraId="75902E0C" w14:textId="4F55D0BF" w:rsidR="00627419" w:rsidRPr="00DA6AB5" w:rsidRDefault="008B517F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2/1</w:t>
            </w:r>
          </w:p>
        </w:tc>
        <w:tc>
          <w:tcPr>
            <w:tcW w:w="497" w:type="pct"/>
            <w:vAlign w:val="center"/>
          </w:tcPr>
          <w:p w14:paraId="37436AF6" w14:textId="297A216F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2</w:t>
            </w:r>
          </w:p>
        </w:tc>
        <w:tc>
          <w:tcPr>
            <w:tcW w:w="3744" w:type="pct"/>
          </w:tcPr>
          <w:p w14:paraId="306B28B9" w14:textId="158F005A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Consideration of reports</w:t>
            </w:r>
          </w:p>
        </w:tc>
      </w:tr>
      <w:tr w:rsidR="006B3DF5" w:rsidRPr="00DA6AB5" w14:paraId="0DC757A8" w14:textId="77777777" w:rsidTr="00EE1DA0">
        <w:tc>
          <w:tcPr>
            <w:tcW w:w="759" w:type="pct"/>
            <w:vAlign w:val="center"/>
          </w:tcPr>
          <w:p w14:paraId="7648988A" w14:textId="46E7198B" w:rsidR="00627419" w:rsidRPr="00DA6AB5" w:rsidRDefault="0090030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4.2.2/1</w:t>
            </w:r>
          </w:p>
        </w:tc>
        <w:tc>
          <w:tcPr>
            <w:tcW w:w="497" w:type="pct"/>
            <w:vAlign w:val="center"/>
          </w:tcPr>
          <w:p w14:paraId="5A10D507" w14:textId="4D615EB7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3</w:t>
            </w:r>
          </w:p>
        </w:tc>
        <w:tc>
          <w:tcPr>
            <w:tcW w:w="3744" w:type="pct"/>
          </w:tcPr>
          <w:p w14:paraId="52C940CA" w14:textId="2246E8A5" w:rsidR="00627419" w:rsidRPr="00DA6AB5" w:rsidRDefault="00C651E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Approach to the strategic planning process 2028–203</w:t>
            </w:r>
          </w:p>
        </w:tc>
      </w:tr>
      <w:tr w:rsidR="006B3DF5" w:rsidRPr="00DA6AB5" w14:paraId="5594030A" w14:textId="77777777" w:rsidTr="00EE1DA0">
        <w:tc>
          <w:tcPr>
            <w:tcW w:w="759" w:type="pct"/>
            <w:vAlign w:val="center"/>
          </w:tcPr>
          <w:p w14:paraId="337A8C71" w14:textId="018C52A1" w:rsidR="00627419" w:rsidRPr="00DA6AB5" w:rsidRDefault="00F45FA1" w:rsidP="00E13C7C">
            <w:pPr>
              <w:spacing w:before="120" w:after="120"/>
              <w:jc w:val="center"/>
              <w:rPr>
                <w:szCs w:val="20"/>
                <w:highlight w:val="yellow"/>
              </w:rPr>
            </w:pPr>
            <w:r w:rsidRPr="00DA6AB5">
              <w:rPr>
                <w:szCs w:val="20"/>
              </w:rPr>
              <w:t>5.1/1</w:t>
            </w:r>
          </w:p>
        </w:tc>
        <w:tc>
          <w:tcPr>
            <w:tcW w:w="497" w:type="pct"/>
            <w:vAlign w:val="center"/>
          </w:tcPr>
          <w:p w14:paraId="7F6A9EAB" w14:textId="2B7B5F95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4</w:t>
            </w:r>
          </w:p>
        </w:tc>
        <w:tc>
          <w:tcPr>
            <w:tcW w:w="3744" w:type="pct"/>
          </w:tcPr>
          <w:p w14:paraId="3855FB3C" w14:textId="28F7FD6C" w:rsidR="00627419" w:rsidRPr="00DA6AB5" w:rsidRDefault="00F45FA1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Resolutions of the United Nations General Assembly addressed to specialized agencies and relevant to WMO</w:t>
            </w:r>
          </w:p>
        </w:tc>
      </w:tr>
      <w:tr w:rsidR="006B3DF5" w:rsidRPr="00DA6AB5" w14:paraId="3C90ED10" w14:textId="77777777" w:rsidTr="00EE1DA0">
        <w:tc>
          <w:tcPr>
            <w:tcW w:w="759" w:type="pct"/>
            <w:vAlign w:val="center"/>
          </w:tcPr>
          <w:p w14:paraId="2A457319" w14:textId="1DE255C7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5.1/2</w:t>
            </w:r>
          </w:p>
        </w:tc>
        <w:tc>
          <w:tcPr>
            <w:tcW w:w="497" w:type="pct"/>
            <w:vAlign w:val="center"/>
          </w:tcPr>
          <w:p w14:paraId="455D3F1A" w14:textId="370EAD72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4" w:type="pct"/>
          </w:tcPr>
          <w:p w14:paraId="254AAB0E" w14:textId="134E8A1C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Outcomes of the 2023 United Nations Climate Change Conference (UNFCCC-</w:t>
            </w:r>
            <w:proofErr w:type="spellStart"/>
            <w:r w:rsidRPr="00DA6AB5">
              <w:rPr>
                <w:szCs w:val="20"/>
              </w:rPr>
              <w:t>COP28</w:t>
            </w:r>
            <w:proofErr w:type="spellEnd"/>
            <w:r w:rsidRPr="00DA6AB5">
              <w:rPr>
                <w:szCs w:val="20"/>
              </w:rPr>
              <w:t>) and the sixtieth session of the Intergovernmental Panel on Climate Change (IPCC-60) and define the strategic role of WMO in the UNFCCC-</w:t>
            </w:r>
            <w:proofErr w:type="spellStart"/>
            <w:r w:rsidRPr="00DA6AB5">
              <w:rPr>
                <w:szCs w:val="20"/>
              </w:rPr>
              <w:t>COP29</w:t>
            </w:r>
            <w:proofErr w:type="spellEnd"/>
          </w:p>
        </w:tc>
      </w:tr>
      <w:tr w:rsidR="006B3DF5" w:rsidRPr="00DA6AB5" w14:paraId="1FFC62A4" w14:textId="77777777" w:rsidTr="00EE1DA0">
        <w:tc>
          <w:tcPr>
            <w:tcW w:w="759" w:type="pct"/>
            <w:vAlign w:val="center"/>
          </w:tcPr>
          <w:p w14:paraId="1EE34266" w14:textId="45B06FA4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5.1/3</w:t>
            </w:r>
          </w:p>
        </w:tc>
        <w:tc>
          <w:tcPr>
            <w:tcW w:w="497" w:type="pct"/>
            <w:vAlign w:val="center"/>
          </w:tcPr>
          <w:p w14:paraId="0F7716C1" w14:textId="4920D1D8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744" w:type="pct"/>
          </w:tcPr>
          <w:p w14:paraId="66B09977" w14:textId="30FD7F9F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Follow up to the WMO contribution to the United Nations International Year of Glaciers’ Preservation 2025 (</w:t>
            </w:r>
            <w:proofErr w:type="spellStart"/>
            <w:r w:rsidRPr="00DA6AB5">
              <w:rPr>
                <w:szCs w:val="20"/>
              </w:rPr>
              <w:t>IYGP25</w:t>
            </w:r>
            <w:proofErr w:type="spellEnd"/>
            <w:r w:rsidRPr="00DA6AB5">
              <w:rPr>
                <w:szCs w:val="20"/>
              </w:rPr>
              <w:t>) and the related recommendation of the EC Panel on High Mountain Observations, Research and Services (</w:t>
            </w:r>
            <w:proofErr w:type="spellStart"/>
            <w:r w:rsidRPr="00DA6AB5">
              <w:rPr>
                <w:szCs w:val="20"/>
              </w:rPr>
              <w:t>PHORS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3A84B040" w14:textId="77777777" w:rsidTr="00EE1DA0">
        <w:tc>
          <w:tcPr>
            <w:tcW w:w="759" w:type="pct"/>
            <w:vAlign w:val="center"/>
          </w:tcPr>
          <w:p w14:paraId="72FBA254" w14:textId="50A5774F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5.1/4</w:t>
            </w:r>
          </w:p>
        </w:tc>
        <w:tc>
          <w:tcPr>
            <w:tcW w:w="497" w:type="pct"/>
            <w:vAlign w:val="center"/>
          </w:tcPr>
          <w:p w14:paraId="3A8F76DD" w14:textId="0B1F26BC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744" w:type="pct"/>
          </w:tcPr>
          <w:p w14:paraId="2CCFC9FD" w14:textId="4B51C879" w:rsidR="00595799" w:rsidRPr="00DA6AB5" w:rsidRDefault="00781290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Revised memorandum of understanding on the Global Climate Observing System (GCOS) as requested by Resolution 38 (EC</w:t>
            </w:r>
            <w:r w:rsidR="007E7A88">
              <w:rPr>
                <w:szCs w:val="20"/>
              </w:rPr>
              <w:noBreakHyphen/>
            </w:r>
            <w:r w:rsidRPr="00DA6AB5">
              <w:rPr>
                <w:szCs w:val="20"/>
              </w:rPr>
              <w:t>76)</w:t>
            </w:r>
          </w:p>
        </w:tc>
      </w:tr>
      <w:tr w:rsidR="006B3DF5" w:rsidRPr="00DA6AB5" w14:paraId="08425DF2" w14:textId="77777777" w:rsidTr="00EE1DA0">
        <w:tc>
          <w:tcPr>
            <w:tcW w:w="759" w:type="pct"/>
            <w:vAlign w:val="center"/>
          </w:tcPr>
          <w:p w14:paraId="30610372" w14:textId="62BC6AC2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5.1/5</w:t>
            </w:r>
          </w:p>
        </w:tc>
        <w:tc>
          <w:tcPr>
            <w:tcW w:w="497" w:type="pct"/>
            <w:vAlign w:val="center"/>
          </w:tcPr>
          <w:p w14:paraId="14CE0C66" w14:textId="451DB6EA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4" w:type="pct"/>
          </w:tcPr>
          <w:p w14:paraId="3FBE72AE" w14:textId="4EE4391A" w:rsidR="00595799" w:rsidRPr="00DA6AB5" w:rsidRDefault="00203A76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Recommendations of the Joint WMO-IOC Collaborative Board (</w:t>
            </w:r>
            <w:proofErr w:type="spellStart"/>
            <w:r w:rsidRPr="00DA6AB5">
              <w:rPr>
                <w:szCs w:val="20"/>
              </w:rPr>
              <w:t>JCB</w:t>
            </w:r>
            <w:proofErr w:type="spellEnd"/>
            <w:r w:rsidRPr="00DA6AB5">
              <w:rPr>
                <w:szCs w:val="20"/>
              </w:rPr>
              <w:t>) on the WMO engagement in the United Nations Decade of Ocean Science for Sustainable Development, including through the Global Ocean Observing System (</w:t>
            </w:r>
            <w:proofErr w:type="spellStart"/>
            <w:r w:rsidRPr="00DA6AB5">
              <w:rPr>
                <w:szCs w:val="20"/>
              </w:rPr>
              <w:t>GOOS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6DFE6F9D" w14:textId="77777777" w:rsidTr="00EE1DA0">
        <w:tc>
          <w:tcPr>
            <w:tcW w:w="759" w:type="pct"/>
            <w:vAlign w:val="center"/>
          </w:tcPr>
          <w:p w14:paraId="0B7300D8" w14:textId="7FCEE001" w:rsidR="00595799" w:rsidRPr="00DA6AB5" w:rsidRDefault="003A591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5.2/1</w:t>
            </w:r>
          </w:p>
        </w:tc>
        <w:tc>
          <w:tcPr>
            <w:tcW w:w="497" w:type="pct"/>
            <w:vAlign w:val="center"/>
          </w:tcPr>
          <w:p w14:paraId="55F414DE" w14:textId="1FFF06D3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744" w:type="pct"/>
          </w:tcPr>
          <w:p w14:paraId="0FD15D8C" w14:textId="06D636F6" w:rsidR="00595799" w:rsidRPr="00DA6AB5" w:rsidRDefault="003A5910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Satellite partner organizations</w:t>
            </w:r>
          </w:p>
        </w:tc>
      </w:tr>
      <w:tr w:rsidR="006B3DF5" w:rsidRPr="00DA6AB5" w14:paraId="1173E122" w14:textId="77777777" w:rsidTr="00EE1DA0">
        <w:tc>
          <w:tcPr>
            <w:tcW w:w="759" w:type="pct"/>
            <w:vAlign w:val="center"/>
          </w:tcPr>
          <w:p w14:paraId="751AD37E" w14:textId="7862CCE1" w:rsidR="00595799" w:rsidRPr="00DA6AB5" w:rsidRDefault="00753F73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6(4)/1</w:t>
            </w:r>
          </w:p>
        </w:tc>
        <w:tc>
          <w:tcPr>
            <w:tcW w:w="497" w:type="pct"/>
            <w:vAlign w:val="center"/>
          </w:tcPr>
          <w:p w14:paraId="21308D06" w14:textId="74148934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744" w:type="pct"/>
          </w:tcPr>
          <w:p w14:paraId="5E9EE995" w14:textId="6B19A4DB" w:rsidR="00595799" w:rsidRPr="00DA6AB5" w:rsidRDefault="00305B7F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Emerging topics important to the WMO mission and mandate</w:t>
            </w:r>
          </w:p>
        </w:tc>
      </w:tr>
      <w:tr w:rsidR="006B3DF5" w:rsidRPr="00DA6AB5" w14:paraId="798453E7" w14:textId="77777777" w:rsidTr="00EE1DA0">
        <w:tc>
          <w:tcPr>
            <w:tcW w:w="759" w:type="pct"/>
            <w:vAlign w:val="center"/>
          </w:tcPr>
          <w:p w14:paraId="25908D53" w14:textId="2F47A3C1" w:rsidR="00595799" w:rsidRPr="00DA6AB5" w:rsidRDefault="000E563A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7.1/1</w:t>
            </w:r>
          </w:p>
        </w:tc>
        <w:tc>
          <w:tcPr>
            <w:tcW w:w="497" w:type="pct"/>
            <w:vAlign w:val="center"/>
          </w:tcPr>
          <w:p w14:paraId="358A76EE" w14:textId="578CD911" w:rsidR="00595799" w:rsidRPr="00DA6AB5" w:rsidRDefault="00305B7F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11</w:t>
            </w:r>
          </w:p>
        </w:tc>
        <w:tc>
          <w:tcPr>
            <w:tcW w:w="3744" w:type="pct"/>
          </w:tcPr>
          <w:p w14:paraId="1C0150C5" w14:textId="37641181" w:rsidR="00595799" w:rsidRPr="00DA6AB5" w:rsidRDefault="000E563A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 xml:space="preserve">IMO </w:t>
            </w:r>
            <w:r w:rsidR="007E7A88" w:rsidRPr="00DA6AB5">
              <w:rPr>
                <w:szCs w:val="20"/>
              </w:rPr>
              <w:t>prize and other awards</w:t>
            </w:r>
          </w:p>
        </w:tc>
      </w:tr>
      <w:tr w:rsidR="006949C7" w:rsidRPr="00DA6AB5" w14:paraId="3C33A5BF" w14:textId="77777777" w:rsidTr="00EE1DA0">
        <w:tc>
          <w:tcPr>
            <w:tcW w:w="759" w:type="pct"/>
            <w:vAlign w:val="center"/>
          </w:tcPr>
          <w:p w14:paraId="75BE6CA8" w14:textId="362CB725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6949C7">
              <w:rPr>
                <w:szCs w:val="20"/>
              </w:rPr>
              <w:t>7.3(1)/1</w:t>
            </w:r>
          </w:p>
        </w:tc>
        <w:tc>
          <w:tcPr>
            <w:tcW w:w="497" w:type="pct"/>
            <w:vAlign w:val="center"/>
          </w:tcPr>
          <w:p w14:paraId="255B4D36" w14:textId="0B152575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12</w:t>
            </w:r>
          </w:p>
        </w:tc>
        <w:tc>
          <w:tcPr>
            <w:tcW w:w="3744" w:type="pct"/>
          </w:tcPr>
          <w:p w14:paraId="3AADE4EA" w14:textId="56F7DCFD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6949C7">
              <w:rPr>
                <w:szCs w:val="20"/>
              </w:rPr>
              <w:t>Elections and appointment processes</w:t>
            </w:r>
          </w:p>
        </w:tc>
      </w:tr>
      <w:tr w:rsidR="006949C7" w:rsidRPr="00DA6AB5" w14:paraId="21CCD89E" w14:textId="77777777" w:rsidTr="00EE1DA0">
        <w:tc>
          <w:tcPr>
            <w:tcW w:w="759" w:type="pct"/>
            <w:vAlign w:val="center"/>
          </w:tcPr>
          <w:p w14:paraId="5C8B47DF" w14:textId="5B00120B" w:rsidR="006949C7" w:rsidRPr="00DA6AB5" w:rsidRDefault="006949C7" w:rsidP="006949C7">
            <w:pPr>
              <w:spacing w:before="120" w:after="120"/>
              <w:jc w:val="center"/>
              <w:rPr>
                <w:szCs w:val="20"/>
              </w:rPr>
            </w:pPr>
            <w:r w:rsidRPr="006949C7">
              <w:rPr>
                <w:szCs w:val="20"/>
              </w:rPr>
              <w:t>7.3(1)/2</w:t>
            </w:r>
          </w:p>
        </w:tc>
        <w:tc>
          <w:tcPr>
            <w:tcW w:w="497" w:type="pct"/>
            <w:vAlign w:val="center"/>
          </w:tcPr>
          <w:p w14:paraId="66510C07" w14:textId="454AA676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13</w:t>
            </w:r>
          </w:p>
        </w:tc>
        <w:tc>
          <w:tcPr>
            <w:tcW w:w="3744" w:type="pct"/>
          </w:tcPr>
          <w:p w14:paraId="4E475676" w14:textId="7187F688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6949C7">
              <w:rPr>
                <w:szCs w:val="20"/>
              </w:rPr>
              <w:t>Regional reform</w:t>
            </w:r>
          </w:p>
        </w:tc>
      </w:tr>
      <w:tr w:rsidR="006949C7" w:rsidRPr="00DA6AB5" w14:paraId="6CF7C412" w14:textId="77777777" w:rsidTr="00EE1DA0">
        <w:tc>
          <w:tcPr>
            <w:tcW w:w="759" w:type="pct"/>
            <w:vAlign w:val="center"/>
          </w:tcPr>
          <w:p w14:paraId="6493C9EA" w14:textId="21A4EDED" w:rsidR="006949C7" w:rsidRPr="00DA6AB5" w:rsidRDefault="006949C7" w:rsidP="006949C7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7.3(2)/1</w:t>
            </w:r>
          </w:p>
        </w:tc>
        <w:tc>
          <w:tcPr>
            <w:tcW w:w="497" w:type="pct"/>
            <w:vAlign w:val="center"/>
          </w:tcPr>
          <w:p w14:paraId="14B5FFBC" w14:textId="5BE0D61B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14</w:t>
            </w:r>
          </w:p>
        </w:tc>
        <w:tc>
          <w:tcPr>
            <w:tcW w:w="3744" w:type="pct"/>
          </w:tcPr>
          <w:p w14:paraId="25208E17" w14:textId="67E88204" w:rsidR="006949C7" w:rsidRPr="00DA6AB5" w:rsidRDefault="006949C7" w:rsidP="006949C7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Youth Engagement</w:t>
            </w:r>
          </w:p>
        </w:tc>
      </w:tr>
      <w:tr w:rsidR="006949C7" w:rsidRPr="00DA6AB5" w14:paraId="71D45308" w14:textId="77777777" w:rsidTr="00EE1DA0">
        <w:tc>
          <w:tcPr>
            <w:tcW w:w="759" w:type="pct"/>
            <w:vAlign w:val="center"/>
          </w:tcPr>
          <w:p w14:paraId="083B74A2" w14:textId="543F6372" w:rsidR="006949C7" w:rsidRPr="00DA6AB5" w:rsidRDefault="006949C7" w:rsidP="006949C7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7.4/1</w:t>
            </w:r>
          </w:p>
        </w:tc>
        <w:tc>
          <w:tcPr>
            <w:tcW w:w="497" w:type="pct"/>
            <w:vAlign w:val="center"/>
          </w:tcPr>
          <w:p w14:paraId="6BF6176E" w14:textId="5B82B076" w:rsidR="006949C7" w:rsidRPr="00DA6AB5" w:rsidRDefault="006949C7" w:rsidP="006949C7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15</w:t>
            </w:r>
          </w:p>
        </w:tc>
        <w:tc>
          <w:tcPr>
            <w:tcW w:w="3744" w:type="pct"/>
          </w:tcPr>
          <w:p w14:paraId="5AEDDA16" w14:textId="29D949AB" w:rsidR="006949C7" w:rsidRPr="00DA6AB5" w:rsidRDefault="006949C7" w:rsidP="006949C7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Designation of Acting Members of the Executive Council</w:t>
            </w:r>
          </w:p>
        </w:tc>
      </w:tr>
      <w:tr w:rsidR="00EE1DA0" w:rsidRPr="00DA6AB5" w14:paraId="67A2033D" w14:textId="77777777" w:rsidTr="00EE1DA0">
        <w:tc>
          <w:tcPr>
            <w:tcW w:w="759" w:type="pct"/>
            <w:vAlign w:val="center"/>
          </w:tcPr>
          <w:p w14:paraId="6179AFB3" w14:textId="6A07C282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7.5/1</w:t>
            </w:r>
          </w:p>
        </w:tc>
        <w:tc>
          <w:tcPr>
            <w:tcW w:w="497" w:type="pct"/>
            <w:vAlign w:val="center"/>
          </w:tcPr>
          <w:p w14:paraId="14563DC5" w14:textId="7929D1E0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16</w:t>
            </w:r>
          </w:p>
        </w:tc>
        <w:tc>
          <w:tcPr>
            <w:tcW w:w="3744" w:type="pct"/>
          </w:tcPr>
          <w:p w14:paraId="4B8C7CF1" w14:textId="523F863C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EE1DA0">
              <w:rPr>
                <w:szCs w:val="20"/>
              </w:rPr>
              <w:t>Membership of the bodies reporting to the Executive Council</w:t>
            </w:r>
          </w:p>
        </w:tc>
      </w:tr>
      <w:tr w:rsidR="00EE1DA0" w:rsidRPr="00DA6AB5" w14:paraId="7966C520" w14:textId="77777777" w:rsidTr="00EE1DA0">
        <w:tc>
          <w:tcPr>
            <w:tcW w:w="759" w:type="pct"/>
            <w:vAlign w:val="center"/>
          </w:tcPr>
          <w:p w14:paraId="7829DDD2" w14:textId="6AA42AF1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7.6/1</w:t>
            </w:r>
          </w:p>
        </w:tc>
        <w:tc>
          <w:tcPr>
            <w:tcW w:w="497" w:type="pct"/>
            <w:vAlign w:val="center"/>
          </w:tcPr>
          <w:p w14:paraId="792FC815" w14:textId="5465700A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17</w:t>
            </w:r>
          </w:p>
        </w:tc>
        <w:tc>
          <w:tcPr>
            <w:tcW w:w="3744" w:type="pct"/>
          </w:tcPr>
          <w:p w14:paraId="391BC524" w14:textId="4A454F24" w:rsidR="00EE1DA0" w:rsidRPr="00DA6AB5" w:rsidRDefault="00EE1DA0" w:rsidP="00EE1DA0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Extraordinary session of Congress in 2025 (Cg-Ext(2025))</w:t>
            </w:r>
          </w:p>
        </w:tc>
      </w:tr>
      <w:tr w:rsidR="00EE1DA0" w:rsidRPr="00DA6AB5" w14:paraId="37E22912" w14:textId="77777777" w:rsidTr="00EE1DA0">
        <w:tc>
          <w:tcPr>
            <w:tcW w:w="759" w:type="pct"/>
            <w:vAlign w:val="center"/>
          </w:tcPr>
          <w:p w14:paraId="76A54EAA" w14:textId="2D94E124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7.7/1</w:t>
            </w:r>
          </w:p>
        </w:tc>
        <w:tc>
          <w:tcPr>
            <w:tcW w:w="497" w:type="pct"/>
            <w:vAlign w:val="center"/>
          </w:tcPr>
          <w:p w14:paraId="3EC7BB48" w14:textId="52881E9A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</w:t>
            </w:r>
            <w:r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4" w:type="pct"/>
          </w:tcPr>
          <w:p w14:paraId="0F6885D0" w14:textId="206E8C5F" w:rsidR="00EE1DA0" w:rsidRPr="00DA6AB5" w:rsidRDefault="00EE1DA0" w:rsidP="00EE1DA0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World Meteorological Day theme for 2025</w:t>
            </w:r>
          </w:p>
        </w:tc>
      </w:tr>
      <w:tr w:rsidR="00EE1DA0" w:rsidRPr="00DA6AB5" w14:paraId="17B25B4D" w14:textId="77777777" w:rsidTr="00EE1DA0">
        <w:tc>
          <w:tcPr>
            <w:tcW w:w="759" w:type="pct"/>
            <w:vAlign w:val="center"/>
          </w:tcPr>
          <w:p w14:paraId="37986121" w14:textId="31D45448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8(4)/1</w:t>
            </w:r>
          </w:p>
        </w:tc>
        <w:tc>
          <w:tcPr>
            <w:tcW w:w="497" w:type="pct"/>
            <w:vAlign w:val="center"/>
          </w:tcPr>
          <w:p w14:paraId="6BD3127E" w14:textId="33B18C14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1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9</w:t>
            </w:r>
          </w:p>
        </w:tc>
        <w:tc>
          <w:tcPr>
            <w:tcW w:w="3744" w:type="pct"/>
          </w:tcPr>
          <w:p w14:paraId="1B794E02" w14:textId="3E9F9FB8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Resource Mobilization Strategy</w:t>
            </w:r>
          </w:p>
        </w:tc>
      </w:tr>
      <w:tr w:rsidR="00EE1DA0" w:rsidRPr="00DA6AB5" w14:paraId="3CA44CE2" w14:textId="77777777" w:rsidTr="00EE1DA0">
        <w:tc>
          <w:tcPr>
            <w:tcW w:w="759" w:type="pct"/>
            <w:vAlign w:val="center"/>
          </w:tcPr>
          <w:p w14:paraId="621B44E0" w14:textId="27D9AE57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lastRenderedPageBreak/>
              <w:t>9(1)/1</w:t>
            </w:r>
          </w:p>
        </w:tc>
        <w:tc>
          <w:tcPr>
            <w:tcW w:w="497" w:type="pct"/>
            <w:vAlign w:val="center"/>
          </w:tcPr>
          <w:p w14:paraId="4B2E38B0" w14:textId="3D57BB53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0</w:t>
            </w:r>
          </w:p>
        </w:tc>
        <w:tc>
          <w:tcPr>
            <w:tcW w:w="3744" w:type="pct"/>
          </w:tcPr>
          <w:p w14:paraId="4741A6AE" w14:textId="3A859292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the Audit and Oversight Committee</w:t>
            </w:r>
          </w:p>
        </w:tc>
      </w:tr>
      <w:tr w:rsidR="00EE1DA0" w:rsidRPr="00DA6AB5" w14:paraId="65B4CC2B" w14:textId="77777777" w:rsidTr="00EE1DA0">
        <w:tc>
          <w:tcPr>
            <w:tcW w:w="759" w:type="pct"/>
            <w:vAlign w:val="center"/>
          </w:tcPr>
          <w:p w14:paraId="7FD2F921" w14:textId="62EA30BF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9(2)/1</w:t>
            </w:r>
          </w:p>
        </w:tc>
        <w:tc>
          <w:tcPr>
            <w:tcW w:w="497" w:type="pct"/>
            <w:vAlign w:val="center"/>
          </w:tcPr>
          <w:p w14:paraId="5BAC5FC5" w14:textId="69BA33BF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1</w:t>
            </w:r>
          </w:p>
        </w:tc>
        <w:tc>
          <w:tcPr>
            <w:tcW w:w="3744" w:type="pct"/>
          </w:tcPr>
          <w:p w14:paraId="7EE30146" w14:textId="730BC2CF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and Recommendations from the External Auditors of WMO</w:t>
            </w:r>
          </w:p>
        </w:tc>
      </w:tr>
      <w:tr w:rsidR="00EE1DA0" w:rsidRPr="00DA6AB5" w14:paraId="23963CD9" w14:textId="77777777" w:rsidTr="00EE1DA0"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49883D25" w14:textId="05B8EAB4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9(3)/1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0A9E92C8" w14:textId="27600300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2</w:t>
            </w:r>
          </w:p>
        </w:tc>
        <w:tc>
          <w:tcPr>
            <w:tcW w:w="3744" w:type="pct"/>
            <w:tcBorders>
              <w:bottom w:val="single" w:sz="4" w:space="0" w:color="auto"/>
            </w:tcBorders>
          </w:tcPr>
          <w:p w14:paraId="0071AA13" w14:textId="04BDF41E" w:rsidR="00EE1DA0" w:rsidRPr="00DA6AB5" w:rsidRDefault="00EE1DA0" w:rsidP="00EE1DA0">
            <w:pPr>
              <w:spacing w:before="120" w:after="120"/>
              <w:ind w:right="-156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Annual Accountability Report of the Internal Oversight Office (IOO)</w:t>
            </w:r>
          </w:p>
        </w:tc>
      </w:tr>
      <w:tr w:rsidR="00EE1DA0" w:rsidRPr="00DA6AB5" w14:paraId="3142042E" w14:textId="77777777" w:rsidTr="00EE1DA0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4B2" w14:textId="76B4F970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9(4)/1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4C4" w14:textId="295FDDF5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6949C7">
              <w:rPr>
                <w:rStyle w:val="Hyperlink"/>
                <w:color w:val="auto"/>
                <w:szCs w:val="20"/>
                <w:u w:val="none"/>
              </w:rPr>
              <w:t>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6D2" w14:textId="2E1553DD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Implementation of the Joint Inspection Unit (JIU) Recommendations</w:t>
            </w:r>
          </w:p>
        </w:tc>
      </w:tr>
      <w:tr w:rsidR="00EE1DA0" w:rsidRPr="00DA6AB5" w14:paraId="47F2EAAA" w14:textId="77777777" w:rsidTr="00EE1DA0"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76840400" w14:textId="3597E63D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10/1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14:paraId="419A7374" w14:textId="5DD2DA5E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2</w:t>
            </w:r>
            <w:r>
              <w:rPr>
                <w:rStyle w:val="Hyperlink"/>
                <w:color w:val="auto"/>
                <w:szCs w:val="20"/>
                <w:u w:val="none"/>
              </w:rPr>
              <w:t>4</w:t>
            </w:r>
          </w:p>
        </w:tc>
        <w:tc>
          <w:tcPr>
            <w:tcW w:w="3744" w:type="pct"/>
            <w:tcBorders>
              <w:top w:val="single" w:sz="4" w:space="0" w:color="auto"/>
            </w:tcBorders>
          </w:tcPr>
          <w:p w14:paraId="5D4C01EE" w14:textId="1776FA3A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Human resources and procurement matters</w:t>
            </w:r>
          </w:p>
        </w:tc>
      </w:tr>
      <w:tr w:rsidR="00EE1DA0" w:rsidRPr="00DA6AB5" w14:paraId="568ADB1C" w14:textId="77777777" w:rsidTr="00EE1DA0">
        <w:tc>
          <w:tcPr>
            <w:tcW w:w="759" w:type="pct"/>
            <w:vAlign w:val="center"/>
          </w:tcPr>
          <w:p w14:paraId="5AED62AF" w14:textId="18FF490A" w:rsidR="00EE1DA0" w:rsidRPr="00DA6AB5" w:rsidRDefault="00EE1DA0" w:rsidP="00EE1DA0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12/1</w:t>
            </w:r>
          </w:p>
        </w:tc>
        <w:tc>
          <w:tcPr>
            <w:tcW w:w="497" w:type="pct"/>
            <w:vAlign w:val="center"/>
          </w:tcPr>
          <w:p w14:paraId="5FEFC098" w14:textId="595210C4" w:rsidR="00EE1DA0" w:rsidRPr="00DA6AB5" w:rsidRDefault="00EE1DA0" w:rsidP="00EE1DA0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rStyle w:val="Hyperlink"/>
                <w:color w:val="auto"/>
                <w:szCs w:val="20"/>
                <w:u w:val="none"/>
              </w:rPr>
              <w:t>2</w:t>
            </w:r>
            <w:r w:rsidRPr="00EE1DA0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4" w:type="pct"/>
          </w:tcPr>
          <w:p w14:paraId="0BBC6C13" w14:textId="14AAF57D" w:rsidR="00EE1DA0" w:rsidRPr="00DA6AB5" w:rsidRDefault="00EE1DA0" w:rsidP="00EE1DA0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 xml:space="preserve">Date and place of next sessions, tentative </w:t>
            </w:r>
            <w:proofErr w:type="spellStart"/>
            <w:r w:rsidRPr="00DA6AB5">
              <w:rPr>
                <w:color w:val="000000"/>
                <w:szCs w:val="20"/>
              </w:rPr>
              <w:t>programme</w:t>
            </w:r>
            <w:proofErr w:type="spellEnd"/>
            <w:r w:rsidRPr="00DA6AB5">
              <w:rPr>
                <w:color w:val="000000"/>
                <w:szCs w:val="20"/>
              </w:rPr>
              <w:t xml:space="preserve"> of sessions of additional bodies and subsidiary bodies and provisional items on the agenda of the next session of the Executive Council</w:t>
            </w:r>
          </w:p>
        </w:tc>
      </w:tr>
    </w:tbl>
    <w:p w14:paraId="0D15D65F" w14:textId="66AD2AA0" w:rsidR="00EE2446" w:rsidRDefault="00EE2446">
      <w:pPr>
        <w:rPr>
          <w:lang w:val="en-GB"/>
        </w:rPr>
      </w:pPr>
    </w:p>
    <w:p w14:paraId="1C493057" w14:textId="77777777" w:rsidR="00EE2446" w:rsidRDefault="00EE2446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1093"/>
        <w:gridCol w:w="6423"/>
      </w:tblGrid>
      <w:tr w:rsidR="008C5D51" w:rsidRPr="00E8776F" w14:paraId="617FF9E8" w14:textId="77777777" w:rsidTr="00F76A1E">
        <w:trPr>
          <w:tblHeader/>
        </w:trPr>
        <w:tc>
          <w:tcPr>
            <w:tcW w:w="5000" w:type="pct"/>
            <w:gridSpan w:val="3"/>
            <w:shd w:val="clear" w:color="auto" w:fill="C00000"/>
            <w:vAlign w:val="center"/>
          </w:tcPr>
          <w:p w14:paraId="38EFC5B1" w14:textId="0DCB19B1" w:rsidR="00574CA0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lastRenderedPageBreak/>
              <w:t>RECOMMENDATIONS</w:t>
            </w:r>
          </w:p>
        </w:tc>
      </w:tr>
      <w:tr w:rsidR="008C5D51" w:rsidRPr="00E8776F" w14:paraId="51D01743" w14:textId="77777777" w:rsidTr="00F76A1E">
        <w:trPr>
          <w:tblHeader/>
        </w:trPr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05A3149F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Session No.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C5ADB58" w14:textId="7AAD8889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Final No</w:t>
            </w:r>
            <w:r w:rsidR="007741CC" w:rsidRPr="00E8776F">
              <w:rPr>
                <w:szCs w:val="20"/>
                <w:lang w:val="en-GB"/>
              </w:rPr>
              <w:t>.</w:t>
            </w:r>
          </w:p>
        </w:tc>
        <w:tc>
          <w:tcPr>
            <w:tcW w:w="3562" w:type="pct"/>
            <w:shd w:val="clear" w:color="auto" w:fill="F2F2F2" w:themeFill="background1" w:themeFillShade="F2"/>
            <w:vAlign w:val="center"/>
          </w:tcPr>
          <w:p w14:paraId="249DB907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Title</w:t>
            </w:r>
          </w:p>
        </w:tc>
      </w:tr>
      <w:tr w:rsidR="008C5D51" w:rsidRPr="00E8776F" w14:paraId="718EDD66" w14:textId="77777777" w:rsidTr="00F76A1E">
        <w:tc>
          <w:tcPr>
            <w:tcW w:w="832" w:type="pct"/>
            <w:vAlign w:val="center"/>
          </w:tcPr>
          <w:p w14:paraId="3C1B9137" w14:textId="15B570C2" w:rsidR="00957651" w:rsidRPr="00E8776F" w:rsidRDefault="00F132D8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color w:val="000000"/>
                <w:szCs w:val="20"/>
              </w:rPr>
              <w:t>4.1.1(8)/1</w:t>
            </w:r>
          </w:p>
        </w:tc>
        <w:tc>
          <w:tcPr>
            <w:tcW w:w="606" w:type="pct"/>
            <w:vAlign w:val="center"/>
          </w:tcPr>
          <w:p w14:paraId="089ECD4A" w14:textId="3BA62D8C" w:rsidR="00957651" w:rsidRPr="00E8776F" w:rsidRDefault="009810D6" w:rsidP="00ED1858">
            <w:pPr>
              <w:spacing w:before="120" w:after="120"/>
              <w:jc w:val="center"/>
              <w:rPr>
                <w:color w:val="0000FF"/>
                <w:szCs w:val="20"/>
              </w:rPr>
            </w:pPr>
            <w:r w:rsidRPr="00CE0DCA">
              <w:rPr>
                <w:szCs w:val="20"/>
              </w:rPr>
              <w:t>1</w:t>
            </w:r>
          </w:p>
        </w:tc>
        <w:tc>
          <w:tcPr>
            <w:tcW w:w="3562" w:type="pct"/>
          </w:tcPr>
          <w:p w14:paraId="4F364F59" w14:textId="6641A096" w:rsidR="00957651" w:rsidRPr="00E8776F" w:rsidRDefault="009810D6" w:rsidP="00ED1858">
            <w:pPr>
              <w:spacing w:before="120" w:after="120"/>
              <w:rPr>
                <w:szCs w:val="20"/>
              </w:rPr>
            </w:pPr>
            <w:r w:rsidRPr="00E8776F">
              <w:rPr>
                <w:color w:val="000000"/>
                <w:szCs w:val="20"/>
              </w:rPr>
              <w:t>The collection and dissemination of marine meteorological and oceanographic information using the International Maritime Organization (IMO) Recognized Mobile Satellite Services (RMSS)</w:t>
            </w:r>
          </w:p>
        </w:tc>
      </w:tr>
    </w:tbl>
    <w:p w14:paraId="512B6A54" w14:textId="151B997E" w:rsidR="002468FA" w:rsidRDefault="002468FA" w:rsidP="002468FA">
      <w:pPr>
        <w:rPr>
          <w:lang w:val="en-GB"/>
        </w:rPr>
      </w:pPr>
    </w:p>
    <w:p w14:paraId="3C1714D2" w14:textId="77777777" w:rsidR="00F76A1E" w:rsidRPr="00D64BC7" w:rsidRDefault="00F76A1E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0822" w14:textId="77777777" w:rsidR="00DD23FE" w:rsidRDefault="00DD23FE" w:rsidP="00574CA0">
      <w:pPr>
        <w:spacing w:before="0" w:after="0"/>
      </w:pPr>
      <w:r>
        <w:separator/>
      </w:r>
    </w:p>
  </w:endnote>
  <w:endnote w:type="continuationSeparator" w:id="0">
    <w:p w14:paraId="4C1EA0CA" w14:textId="77777777" w:rsidR="00DD23FE" w:rsidRDefault="00DD23FE" w:rsidP="00574CA0">
      <w:pPr>
        <w:spacing w:before="0" w:after="0"/>
      </w:pPr>
      <w:r>
        <w:continuationSeparator/>
      </w:r>
    </w:p>
  </w:endnote>
  <w:endnote w:type="continuationNotice" w:id="1">
    <w:p w14:paraId="23C6D9E0" w14:textId="77777777" w:rsidR="00DD23FE" w:rsidRDefault="00DD23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EA88" w14:textId="77777777" w:rsidR="00DD23FE" w:rsidRDefault="00DD23FE" w:rsidP="00574CA0">
      <w:pPr>
        <w:spacing w:before="0" w:after="0"/>
      </w:pPr>
      <w:r>
        <w:separator/>
      </w:r>
    </w:p>
  </w:footnote>
  <w:footnote w:type="continuationSeparator" w:id="0">
    <w:p w14:paraId="6172499F" w14:textId="77777777" w:rsidR="00DD23FE" w:rsidRDefault="00DD23FE" w:rsidP="00574CA0">
      <w:pPr>
        <w:spacing w:before="0" w:after="0"/>
      </w:pPr>
      <w:r>
        <w:continuationSeparator/>
      </w:r>
    </w:p>
  </w:footnote>
  <w:footnote w:type="continuationNotice" w:id="1">
    <w:p w14:paraId="4568913A" w14:textId="77777777" w:rsidR="00DD23FE" w:rsidRDefault="00DD23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0638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07AD"/>
    <w:rsid w:val="00053885"/>
    <w:rsid w:val="00055FD7"/>
    <w:rsid w:val="00060492"/>
    <w:rsid w:val="000645FA"/>
    <w:rsid w:val="00066DFC"/>
    <w:rsid w:val="000750A3"/>
    <w:rsid w:val="0008613D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B4EDC"/>
    <w:rsid w:val="000C66A0"/>
    <w:rsid w:val="000C688C"/>
    <w:rsid w:val="000D07EB"/>
    <w:rsid w:val="000D29F9"/>
    <w:rsid w:val="000D2AE0"/>
    <w:rsid w:val="000D360F"/>
    <w:rsid w:val="000E03DB"/>
    <w:rsid w:val="000E563A"/>
    <w:rsid w:val="000E62B3"/>
    <w:rsid w:val="000F5579"/>
    <w:rsid w:val="001005EE"/>
    <w:rsid w:val="0010215F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51C"/>
    <w:rsid w:val="00130B8E"/>
    <w:rsid w:val="001425CC"/>
    <w:rsid w:val="00143D19"/>
    <w:rsid w:val="00146C8F"/>
    <w:rsid w:val="00154910"/>
    <w:rsid w:val="00157A46"/>
    <w:rsid w:val="00163940"/>
    <w:rsid w:val="001813ED"/>
    <w:rsid w:val="0018183F"/>
    <w:rsid w:val="00194470"/>
    <w:rsid w:val="00194714"/>
    <w:rsid w:val="001972A1"/>
    <w:rsid w:val="001A1D7D"/>
    <w:rsid w:val="001A3059"/>
    <w:rsid w:val="001B3384"/>
    <w:rsid w:val="001B43E6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03A76"/>
    <w:rsid w:val="002139A4"/>
    <w:rsid w:val="002162CD"/>
    <w:rsid w:val="002165ED"/>
    <w:rsid w:val="0022224D"/>
    <w:rsid w:val="00227EEE"/>
    <w:rsid w:val="00236BA4"/>
    <w:rsid w:val="00241A8F"/>
    <w:rsid w:val="002468FA"/>
    <w:rsid w:val="00247547"/>
    <w:rsid w:val="00251967"/>
    <w:rsid w:val="0025306A"/>
    <w:rsid w:val="00261D52"/>
    <w:rsid w:val="00267629"/>
    <w:rsid w:val="00271993"/>
    <w:rsid w:val="0028275D"/>
    <w:rsid w:val="00282E78"/>
    <w:rsid w:val="00285E34"/>
    <w:rsid w:val="00292543"/>
    <w:rsid w:val="0029406E"/>
    <w:rsid w:val="002B0F6E"/>
    <w:rsid w:val="002B3210"/>
    <w:rsid w:val="002C1A98"/>
    <w:rsid w:val="002C2AD9"/>
    <w:rsid w:val="002C443B"/>
    <w:rsid w:val="002C4D9A"/>
    <w:rsid w:val="002D080B"/>
    <w:rsid w:val="002D0975"/>
    <w:rsid w:val="002D4D30"/>
    <w:rsid w:val="002D6A80"/>
    <w:rsid w:val="002E5844"/>
    <w:rsid w:val="002E679B"/>
    <w:rsid w:val="002E6A9E"/>
    <w:rsid w:val="002F04F0"/>
    <w:rsid w:val="002F5B70"/>
    <w:rsid w:val="003013AF"/>
    <w:rsid w:val="00305B7F"/>
    <w:rsid w:val="003071F7"/>
    <w:rsid w:val="003175AD"/>
    <w:rsid w:val="0032107D"/>
    <w:rsid w:val="00322956"/>
    <w:rsid w:val="00325029"/>
    <w:rsid w:val="0032609B"/>
    <w:rsid w:val="00332A6F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60D6A"/>
    <w:rsid w:val="003657A7"/>
    <w:rsid w:val="00374522"/>
    <w:rsid w:val="0037632B"/>
    <w:rsid w:val="0037682E"/>
    <w:rsid w:val="00377013"/>
    <w:rsid w:val="00383098"/>
    <w:rsid w:val="00384EE3"/>
    <w:rsid w:val="003A5910"/>
    <w:rsid w:val="003A7EF4"/>
    <w:rsid w:val="003B3A36"/>
    <w:rsid w:val="003D1A32"/>
    <w:rsid w:val="003D3A91"/>
    <w:rsid w:val="003D6569"/>
    <w:rsid w:val="003E0115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039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7B5C"/>
    <w:rsid w:val="0048013E"/>
    <w:rsid w:val="00480E0C"/>
    <w:rsid w:val="004852DF"/>
    <w:rsid w:val="004A0273"/>
    <w:rsid w:val="004A06ED"/>
    <w:rsid w:val="004A0841"/>
    <w:rsid w:val="004A598A"/>
    <w:rsid w:val="004B2133"/>
    <w:rsid w:val="004B242D"/>
    <w:rsid w:val="004B24F9"/>
    <w:rsid w:val="004B4D88"/>
    <w:rsid w:val="004B7606"/>
    <w:rsid w:val="004C79BE"/>
    <w:rsid w:val="004E1C97"/>
    <w:rsid w:val="004E2DEB"/>
    <w:rsid w:val="004E614F"/>
    <w:rsid w:val="004F15CC"/>
    <w:rsid w:val="004F475E"/>
    <w:rsid w:val="004F51B6"/>
    <w:rsid w:val="004F684E"/>
    <w:rsid w:val="005071C6"/>
    <w:rsid w:val="00507B44"/>
    <w:rsid w:val="005109E9"/>
    <w:rsid w:val="005116F2"/>
    <w:rsid w:val="00512FA7"/>
    <w:rsid w:val="00514004"/>
    <w:rsid w:val="0051616D"/>
    <w:rsid w:val="00532BB3"/>
    <w:rsid w:val="005430CD"/>
    <w:rsid w:val="0054374E"/>
    <w:rsid w:val="00546B45"/>
    <w:rsid w:val="00546CA5"/>
    <w:rsid w:val="00551471"/>
    <w:rsid w:val="0055305B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95F9C"/>
    <w:rsid w:val="005A06D7"/>
    <w:rsid w:val="005A2661"/>
    <w:rsid w:val="005A6AFB"/>
    <w:rsid w:val="005C6A97"/>
    <w:rsid w:val="005D53AA"/>
    <w:rsid w:val="005E51D4"/>
    <w:rsid w:val="005E616C"/>
    <w:rsid w:val="005E764F"/>
    <w:rsid w:val="00601A1A"/>
    <w:rsid w:val="00605949"/>
    <w:rsid w:val="00606870"/>
    <w:rsid w:val="00611CB1"/>
    <w:rsid w:val="00620AA8"/>
    <w:rsid w:val="0062189A"/>
    <w:rsid w:val="00622A4B"/>
    <w:rsid w:val="00625608"/>
    <w:rsid w:val="00627419"/>
    <w:rsid w:val="00632C02"/>
    <w:rsid w:val="00636D81"/>
    <w:rsid w:val="00640F96"/>
    <w:rsid w:val="00643A03"/>
    <w:rsid w:val="006461A6"/>
    <w:rsid w:val="0065636B"/>
    <w:rsid w:val="006601B5"/>
    <w:rsid w:val="00665CAA"/>
    <w:rsid w:val="006672A1"/>
    <w:rsid w:val="00673492"/>
    <w:rsid w:val="00673F03"/>
    <w:rsid w:val="0067707C"/>
    <w:rsid w:val="00686CDF"/>
    <w:rsid w:val="00687166"/>
    <w:rsid w:val="00690F20"/>
    <w:rsid w:val="006949C7"/>
    <w:rsid w:val="006A0C46"/>
    <w:rsid w:val="006B088C"/>
    <w:rsid w:val="006B3DF5"/>
    <w:rsid w:val="006B5F20"/>
    <w:rsid w:val="006C2487"/>
    <w:rsid w:val="006C52E0"/>
    <w:rsid w:val="006D1958"/>
    <w:rsid w:val="006D1FC2"/>
    <w:rsid w:val="006D5BEC"/>
    <w:rsid w:val="006D5F80"/>
    <w:rsid w:val="00703757"/>
    <w:rsid w:val="00705640"/>
    <w:rsid w:val="00713282"/>
    <w:rsid w:val="0071541F"/>
    <w:rsid w:val="007327A3"/>
    <w:rsid w:val="00733103"/>
    <w:rsid w:val="00740D54"/>
    <w:rsid w:val="00742482"/>
    <w:rsid w:val="00747072"/>
    <w:rsid w:val="00751346"/>
    <w:rsid w:val="00753F73"/>
    <w:rsid w:val="007573C5"/>
    <w:rsid w:val="00764778"/>
    <w:rsid w:val="00765F43"/>
    <w:rsid w:val="00770B6D"/>
    <w:rsid w:val="007741CC"/>
    <w:rsid w:val="0077558A"/>
    <w:rsid w:val="00777D1B"/>
    <w:rsid w:val="00781290"/>
    <w:rsid w:val="00784544"/>
    <w:rsid w:val="00792E2E"/>
    <w:rsid w:val="00793EE9"/>
    <w:rsid w:val="007A0B78"/>
    <w:rsid w:val="007A517B"/>
    <w:rsid w:val="007A59A3"/>
    <w:rsid w:val="007B5B8C"/>
    <w:rsid w:val="007C19D6"/>
    <w:rsid w:val="007C1A16"/>
    <w:rsid w:val="007E2722"/>
    <w:rsid w:val="007E7A88"/>
    <w:rsid w:val="007E7DF1"/>
    <w:rsid w:val="007F00E0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368FB"/>
    <w:rsid w:val="00844485"/>
    <w:rsid w:val="00862311"/>
    <w:rsid w:val="008743CF"/>
    <w:rsid w:val="00875E92"/>
    <w:rsid w:val="008906EC"/>
    <w:rsid w:val="00892D46"/>
    <w:rsid w:val="008953EB"/>
    <w:rsid w:val="00895655"/>
    <w:rsid w:val="008A2401"/>
    <w:rsid w:val="008B35BC"/>
    <w:rsid w:val="008B517F"/>
    <w:rsid w:val="008C5D51"/>
    <w:rsid w:val="008C683A"/>
    <w:rsid w:val="008D0D31"/>
    <w:rsid w:val="008D13D4"/>
    <w:rsid w:val="008D1865"/>
    <w:rsid w:val="008D4CE4"/>
    <w:rsid w:val="008E368C"/>
    <w:rsid w:val="008E5A1B"/>
    <w:rsid w:val="008E5F93"/>
    <w:rsid w:val="008F30CE"/>
    <w:rsid w:val="008F41A8"/>
    <w:rsid w:val="008F4E1F"/>
    <w:rsid w:val="00900301"/>
    <w:rsid w:val="009003C4"/>
    <w:rsid w:val="00900D2D"/>
    <w:rsid w:val="00903E59"/>
    <w:rsid w:val="0090547C"/>
    <w:rsid w:val="009174F6"/>
    <w:rsid w:val="0093464A"/>
    <w:rsid w:val="0093466F"/>
    <w:rsid w:val="0093519D"/>
    <w:rsid w:val="009417D8"/>
    <w:rsid w:val="00942D57"/>
    <w:rsid w:val="0094477C"/>
    <w:rsid w:val="00944C83"/>
    <w:rsid w:val="00954A94"/>
    <w:rsid w:val="0095522F"/>
    <w:rsid w:val="00956FB7"/>
    <w:rsid w:val="00957651"/>
    <w:rsid w:val="00957BA8"/>
    <w:rsid w:val="0097223F"/>
    <w:rsid w:val="009810D6"/>
    <w:rsid w:val="00984A93"/>
    <w:rsid w:val="009A050A"/>
    <w:rsid w:val="009A6129"/>
    <w:rsid w:val="009B4201"/>
    <w:rsid w:val="009B6B5E"/>
    <w:rsid w:val="009B72CD"/>
    <w:rsid w:val="009C2B92"/>
    <w:rsid w:val="009D5C1D"/>
    <w:rsid w:val="009D6BA3"/>
    <w:rsid w:val="00A02746"/>
    <w:rsid w:val="00A10545"/>
    <w:rsid w:val="00A15C8D"/>
    <w:rsid w:val="00A17BE6"/>
    <w:rsid w:val="00A20CA9"/>
    <w:rsid w:val="00A450F6"/>
    <w:rsid w:val="00A45938"/>
    <w:rsid w:val="00A46F1B"/>
    <w:rsid w:val="00A53F72"/>
    <w:rsid w:val="00A56E2C"/>
    <w:rsid w:val="00A6205E"/>
    <w:rsid w:val="00A70A6E"/>
    <w:rsid w:val="00A72802"/>
    <w:rsid w:val="00A75CEF"/>
    <w:rsid w:val="00A8043D"/>
    <w:rsid w:val="00A95192"/>
    <w:rsid w:val="00AA50E8"/>
    <w:rsid w:val="00AB4333"/>
    <w:rsid w:val="00AC0AB7"/>
    <w:rsid w:val="00AC6079"/>
    <w:rsid w:val="00AC7023"/>
    <w:rsid w:val="00AC718E"/>
    <w:rsid w:val="00AE0B04"/>
    <w:rsid w:val="00AE4167"/>
    <w:rsid w:val="00AE5C7F"/>
    <w:rsid w:val="00AF295B"/>
    <w:rsid w:val="00AF6EFA"/>
    <w:rsid w:val="00AF766B"/>
    <w:rsid w:val="00B018AD"/>
    <w:rsid w:val="00B01986"/>
    <w:rsid w:val="00B04399"/>
    <w:rsid w:val="00B04B76"/>
    <w:rsid w:val="00B07AED"/>
    <w:rsid w:val="00B258C5"/>
    <w:rsid w:val="00B277A8"/>
    <w:rsid w:val="00B3328C"/>
    <w:rsid w:val="00B5069F"/>
    <w:rsid w:val="00B53EB0"/>
    <w:rsid w:val="00B60940"/>
    <w:rsid w:val="00B62E08"/>
    <w:rsid w:val="00B63553"/>
    <w:rsid w:val="00B65259"/>
    <w:rsid w:val="00B72CF9"/>
    <w:rsid w:val="00B73202"/>
    <w:rsid w:val="00B77B6C"/>
    <w:rsid w:val="00B8314A"/>
    <w:rsid w:val="00B8387D"/>
    <w:rsid w:val="00B83BAA"/>
    <w:rsid w:val="00B85DC1"/>
    <w:rsid w:val="00B9194E"/>
    <w:rsid w:val="00B9706C"/>
    <w:rsid w:val="00BA1D82"/>
    <w:rsid w:val="00BA6BB4"/>
    <w:rsid w:val="00BB35AE"/>
    <w:rsid w:val="00BB6856"/>
    <w:rsid w:val="00BC09FF"/>
    <w:rsid w:val="00BC3638"/>
    <w:rsid w:val="00BC67B1"/>
    <w:rsid w:val="00BD7A0B"/>
    <w:rsid w:val="00BE6CEE"/>
    <w:rsid w:val="00BF6D86"/>
    <w:rsid w:val="00C02074"/>
    <w:rsid w:val="00C1125F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624AE"/>
    <w:rsid w:val="00C63F02"/>
    <w:rsid w:val="00C651EF"/>
    <w:rsid w:val="00C657D2"/>
    <w:rsid w:val="00C66168"/>
    <w:rsid w:val="00C66DB9"/>
    <w:rsid w:val="00C67FF8"/>
    <w:rsid w:val="00C85CC5"/>
    <w:rsid w:val="00C95B72"/>
    <w:rsid w:val="00C97B32"/>
    <w:rsid w:val="00CA0018"/>
    <w:rsid w:val="00CA75E6"/>
    <w:rsid w:val="00CC584A"/>
    <w:rsid w:val="00CC7B90"/>
    <w:rsid w:val="00CD31CE"/>
    <w:rsid w:val="00CD5DB8"/>
    <w:rsid w:val="00CD7B58"/>
    <w:rsid w:val="00CE0DCA"/>
    <w:rsid w:val="00CE2E22"/>
    <w:rsid w:val="00CE597B"/>
    <w:rsid w:val="00CF323D"/>
    <w:rsid w:val="00CF3D48"/>
    <w:rsid w:val="00D048B6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626"/>
    <w:rsid w:val="00D64BC7"/>
    <w:rsid w:val="00D72661"/>
    <w:rsid w:val="00D803B8"/>
    <w:rsid w:val="00D8411C"/>
    <w:rsid w:val="00D93B91"/>
    <w:rsid w:val="00D95A11"/>
    <w:rsid w:val="00DA0D9A"/>
    <w:rsid w:val="00DA35AA"/>
    <w:rsid w:val="00DA5216"/>
    <w:rsid w:val="00DA6AB5"/>
    <w:rsid w:val="00DB2544"/>
    <w:rsid w:val="00DC2F8E"/>
    <w:rsid w:val="00DC67BB"/>
    <w:rsid w:val="00DD20A3"/>
    <w:rsid w:val="00DD23FE"/>
    <w:rsid w:val="00DD399D"/>
    <w:rsid w:val="00DD46F5"/>
    <w:rsid w:val="00DE1F5E"/>
    <w:rsid w:val="00DE58B8"/>
    <w:rsid w:val="00E04848"/>
    <w:rsid w:val="00E077AB"/>
    <w:rsid w:val="00E13C7C"/>
    <w:rsid w:val="00E158D1"/>
    <w:rsid w:val="00E17756"/>
    <w:rsid w:val="00E2171D"/>
    <w:rsid w:val="00E30D05"/>
    <w:rsid w:val="00E317BB"/>
    <w:rsid w:val="00E33E5A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9AF"/>
    <w:rsid w:val="00E85F98"/>
    <w:rsid w:val="00E8776F"/>
    <w:rsid w:val="00EA1AAC"/>
    <w:rsid w:val="00EA58BA"/>
    <w:rsid w:val="00EB0EAF"/>
    <w:rsid w:val="00EB3D7C"/>
    <w:rsid w:val="00EB653E"/>
    <w:rsid w:val="00EC0D74"/>
    <w:rsid w:val="00EC32C4"/>
    <w:rsid w:val="00EC7320"/>
    <w:rsid w:val="00EC7F0D"/>
    <w:rsid w:val="00ED117F"/>
    <w:rsid w:val="00ED1858"/>
    <w:rsid w:val="00EE1DA0"/>
    <w:rsid w:val="00EE2446"/>
    <w:rsid w:val="00EE3EC0"/>
    <w:rsid w:val="00EE6778"/>
    <w:rsid w:val="00F04B65"/>
    <w:rsid w:val="00F0607E"/>
    <w:rsid w:val="00F070D7"/>
    <w:rsid w:val="00F132D8"/>
    <w:rsid w:val="00F1457C"/>
    <w:rsid w:val="00F15598"/>
    <w:rsid w:val="00F16FE1"/>
    <w:rsid w:val="00F23065"/>
    <w:rsid w:val="00F2554A"/>
    <w:rsid w:val="00F2560E"/>
    <w:rsid w:val="00F26BF7"/>
    <w:rsid w:val="00F364FF"/>
    <w:rsid w:val="00F371C9"/>
    <w:rsid w:val="00F37441"/>
    <w:rsid w:val="00F4011D"/>
    <w:rsid w:val="00F45FA1"/>
    <w:rsid w:val="00F4632A"/>
    <w:rsid w:val="00F762E3"/>
    <w:rsid w:val="00F76A1E"/>
    <w:rsid w:val="00F83F06"/>
    <w:rsid w:val="00F90C7B"/>
    <w:rsid w:val="00F94D05"/>
    <w:rsid w:val="00F965A4"/>
    <w:rsid w:val="00FA11A3"/>
    <w:rsid w:val="00FA6E72"/>
    <w:rsid w:val="00FB5174"/>
    <w:rsid w:val="00FC0E07"/>
    <w:rsid w:val="00FC2860"/>
    <w:rsid w:val="00FC4085"/>
    <w:rsid w:val="00FC4472"/>
    <w:rsid w:val="00FC5FF6"/>
    <w:rsid w:val="00FC7A27"/>
    <w:rsid w:val="00FD5810"/>
    <w:rsid w:val="00FD6EA0"/>
    <w:rsid w:val="00FF00F3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83D6ECF6EF42A560057AC55D5504" ma:contentTypeVersion="1" ma:contentTypeDescription="Create a new document." ma:contentTypeScope="" ma:versionID="fba3e876dd5496d5a3d79ee4565e0662">
  <xsd:schema xmlns:xsd="http://www.w3.org/2001/XMLSchema" xmlns:xs="http://www.w3.org/2001/XMLSchema" xmlns:p="http://schemas.microsoft.com/office/2006/metadata/properties" xmlns:ns2="97a7eda9-0ce8-4706-9a0a-c256b193cd25" targetNamespace="http://schemas.microsoft.com/office/2006/metadata/properties" ma:root="true" ma:fieldsID="039c8cf89c04a367b44c013520f0be0c" ns2:_="">
    <xsd:import namespace="97a7eda9-0ce8-4706-9a0a-c256b193cd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eda9-0ce8-4706-9a0a-c256b193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B5079-2772-4C80-A5D0-607C14F13D2A}">
  <ds:schemaRefs>
    <ds:schemaRef ds:uri="3679bf0f-1d7e-438f-afa5-6ebf1e20f9b8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54853-1ED0-42ED-B822-7ED6A7605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2</cp:revision>
  <cp:lastPrinted>2024-05-07T12:12:00Z</cp:lastPrinted>
  <dcterms:created xsi:type="dcterms:W3CDTF">2024-07-01T08:02:00Z</dcterms:created>
  <dcterms:modified xsi:type="dcterms:W3CDTF">2024-07-01T08:02:00Z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0x0101008EEB83D6ECF6EF42A560057AC55D5504</vt:lpwstr>
  </property>
  <property fmtid="{D5CDD505-2E9C-101B-9397-08002B2CF9AE}" pid="3" name="MediaServiceImageTags">
    <vt:lpwstr/>
  </property>
</Properties>
</file>